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18008B3E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4900F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486F971" w14:textId="77777777" w:rsidR="001E2C81" w:rsidRPr="00640F02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14:paraId="491C271D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14:paraId="58154CD0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14:paraId="4430BA21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14:paraId="1C61536A" w14:textId="77777777" w:rsidR="001E2C81" w:rsidRPr="00821B45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821B45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14:paraId="42130D43" w14:textId="77777777" w:rsidR="00821B45" w:rsidRPr="00640F02" w:rsidRDefault="00821B45" w:rsidP="00821B45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3D5FE18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14:paraId="225C473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4925124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>Политические проблемы международных отношений глобального и регионального развития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»</w:t>
      </w:r>
    </w:p>
    <w:p w14:paraId="2E39F21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0009828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14:paraId="07E20A0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5A882B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14:paraId="2CABA6D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502CD0F4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62590D82" w14:textId="30CF98DB" w:rsidR="001E2C81" w:rsidRPr="00821B45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827AFF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</w:t>
      </w:r>
      <w:r w:rsidR="0084001B">
        <w:rPr>
          <w:rFonts w:ascii="Times New Roman" w:hAnsi="Times New Roman" w:cs="Calibri"/>
          <w:kern w:val="0"/>
          <w:sz w:val="28"/>
          <w:szCs w:val="28"/>
          <w:lang w:eastAsia="en-US"/>
        </w:rPr>
        <w:t>2</w:t>
      </w:r>
      <w:r w:rsidR="0084001B" w:rsidRPr="00821B45">
        <w:rPr>
          <w:rFonts w:ascii="Times New Roman" w:hAnsi="Times New Roman" w:cs="Calibri"/>
          <w:kern w:val="0"/>
          <w:sz w:val="28"/>
          <w:szCs w:val="28"/>
          <w:lang w:eastAsia="en-US"/>
        </w:rPr>
        <w:t>1</w:t>
      </w:r>
    </w:p>
    <w:p w14:paraId="0D683183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714016AC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14:paraId="42B2CB81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6035F9F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11C44ED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311E946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512EE15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E88C32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FB4114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A089828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6C2009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FC8EFB5" w14:textId="40C44C4C" w:rsidR="00D80005" w:rsidRDefault="001E2C81" w:rsidP="001E2C81">
      <w:pPr>
        <w:ind w:right="-284" w:firstLine="567"/>
        <w:jc w:val="center"/>
        <w:rPr>
          <w:rFonts w:eastAsia="Calibri" w:cs="Calibri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</w:t>
      </w:r>
      <w:r w:rsidR="0084001B" w:rsidRPr="005729F0">
        <w:rPr>
          <w:rFonts w:ascii="Times New Roman" w:hAnsi="Times New Roman" w:cs="Calibri"/>
          <w:sz w:val="24"/>
          <w:szCs w:val="20"/>
        </w:rPr>
        <w:t>20</w:t>
      </w: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827AFF">
        <w:rPr>
          <w:rFonts w:eastAsia="Calibri" w:cs="Calibri"/>
          <w:kern w:val="0"/>
          <w:szCs w:val="20"/>
          <w:lang w:eastAsia="en-US"/>
        </w:rPr>
        <w:t xml:space="preserve"> 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5D4BD1F1" w14:textId="77777777" w:rsidR="001E2C81" w:rsidRPr="0096668F" w:rsidRDefault="001E2C81" w:rsidP="001E2C8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40C1F71F" w14:textId="77777777" w:rsidR="001E2C81" w:rsidRPr="008D290F" w:rsidRDefault="001E2C81" w:rsidP="001E2C81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К.и.н., доцент М.А.Буланакова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C29F49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F03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55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F1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179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2C81" w:rsidRPr="00E13DEA" w14:paraId="4CF6C534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2A0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2AB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B6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2B3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14:paraId="73743A8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4576298B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4C82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F14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8A7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9DE5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1E2C81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43A1F8D0" w14:textId="77777777" w:rsidR="00FB51FD" w:rsidRPr="00F91B73" w:rsidRDefault="00FB51FD" w:rsidP="001E2C81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66"/>
        <w:gridCol w:w="3164"/>
      </w:tblGrid>
      <w:tr w:rsidR="001E2C81" w:rsidRPr="00AF5000" w14:paraId="56655A78" w14:textId="3A65AFCB" w:rsidTr="001E2C81">
        <w:trPr>
          <w:trHeight w:val="715"/>
        </w:trPr>
        <w:tc>
          <w:tcPr>
            <w:tcW w:w="1693" w:type="pct"/>
          </w:tcPr>
          <w:p w14:paraId="10CDA584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54" w:type="pct"/>
          </w:tcPr>
          <w:p w14:paraId="3C5364DD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1653" w:type="pct"/>
          </w:tcPr>
          <w:p w14:paraId="20304BE9" w14:textId="77777777" w:rsidR="001E2C81" w:rsidRPr="00AF5000" w:rsidRDefault="001E2C81" w:rsidP="00AC454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A15C3C1" w14:textId="77DCF8FE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1E2C81" w:rsidRPr="00AF5000" w14:paraId="45BB0488" w14:textId="6003A81D" w:rsidTr="001E2C81">
        <w:tc>
          <w:tcPr>
            <w:tcW w:w="1693" w:type="pct"/>
          </w:tcPr>
          <w:p w14:paraId="094C936D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654" w:type="pct"/>
            <w:vAlign w:val="center"/>
          </w:tcPr>
          <w:p w14:paraId="59C06A4D" w14:textId="00E4615E" w:rsidR="001E2C81" w:rsidRPr="00AF5000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53" w:type="pct"/>
            <w:vAlign w:val="center"/>
          </w:tcPr>
          <w:p w14:paraId="07555B0C" w14:textId="73490FD2" w:rsidR="001E2C81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E2C81" w:rsidRPr="00AF5000" w14:paraId="2906ABCC" w14:textId="70928E28" w:rsidTr="001E2C81">
        <w:tc>
          <w:tcPr>
            <w:tcW w:w="1693" w:type="pct"/>
          </w:tcPr>
          <w:p w14:paraId="32A9B936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1654" w:type="pct"/>
            <w:vAlign w:val="center"/>
          </w:tcPr>
          <w:p w14:paraId="3433245C" w14:textId="71148419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3" w:type="pct"/>
          </w:tcPr>
          <w:p w14:paraId="41649A94" w14:textId="188E0FBA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2C81" w:rsidRPr="00AF5000" w14:paraId="1A1838E3" w14:textId="4B8AF7F5" w:rsidTr="001E2C81">
        <w:tc>
          <w:tcPr>
            <w:tcW w:w="1693" w:type="pct"/>
          </w:tcPr>
          <w:p w14:paraId="7FF98ACC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54" w:type="pct"/>
            <w:vAlign w:val="center"/>
          </w:tcPr>
          <w:p w14:paraId="234E9E36" w14:textId="738F96C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pct"/>
          </w:tcPr>
          <w:p w14:paraId="2D5743D4" w14:textId="54F0ECB0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2C81" w:rsidRPr="00AF5000" w14:paraId="2CC98628" w14:textId="07D1DCFB" w:rsidTr="001E2C81">
        <w:tc>
          <w:tcPr>
            <w:tcW w:w="1693" w:type="pct"/>
          </w:tcPr>
          <w:p w14:paraId="2E4B29F1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4" w:type="pct"/>
            <w:vAlign w:val="center"/>
          </w:tcPr>
          <w:p w14:paraId="1494D559" w14:textId="78B5D6A9" w:rsidR="001E2C81" w:rsidRPr="00AF5000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14:paraId="19174F2B" w14:textId="39B51074" w:rsidR="001E2C81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81" w:rsidRPr="00AF5000" w14:paraId="01F963A8" w14:textId="2E44F120" w:rsidTr="001E2C81">
        <w:tc>
          <w:tcPr>
            <w:tcW w:w="1693" w:type="pct"/>
          </w:tcPr>
          <w:p w14:paraId="4A2C89AB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4" w:type="pct"/>
            <w:vAlign w:val="center"/>
          </w:tcPr>
          <w:p w14:paraId="29AA367F" w14:textId="050691B5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3" w:type="pct"/>
          </w:tcPr>
          <w:p w14:paraId="25E31D90" w14:textId="7244F6EC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E2C81" w:rsidRPr="00AF5000" w14:paraId="01EE1B87" w14:textId="14F1D4FD" w:rsidTr="001E2C81">
        <w:tc>
          <w:tcPr>
            <w:tcW w:w="1693" w:type="pct"/>
          </w:tcPr>
          <w:p w14:paraId="45B7D69E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1654" w:type="pct"/>
            <w:vAlign w:val="center"/>
          </w:tcPr>
          <w:p w14:paraId="38B13940" w14:textId="1DA95B9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  <w:tc>
          <w:tcPr>
            <w:tcW w:w="1653" w:type="pct"/>
          </w:tcPr>
          <w:p w14:paraId="1C849FD1" w14:textId="53DE08BF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</w:tr>
      <w:tr w:rsidR="001E2C81" w:rsidRPr="00AF5000" w14:paraId="1582DC77" w14:textId="26F3C75B" w:rsidTr="001E2C81">
        <w:tc>
          <w:tcPr>
            <w:tcW w:w="1693" w:type="pct"/>
          </w:tcPr>
          <w:p w14:paraId="26A2C444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1654" w:type="pct"/>
            <w:vAlign w:val="center"/>
          </w:tcPr>
          <w:p w14:paraId="4D501D5A" w14:textId="760A4539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53" w:type="pct"/>
          </w:tcPr>
          <w:p w14:paraId="7133AAE6" w14:textId="46BB3FDE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DC6C9F3" w14:textId="77777777" w:rsidR="001E2C81" w:rsidRPr="00DF6413" w:rsidRDefault="00A915FE" w:rsidP="001E2C81">
      <w:pPr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1E2C81" w:rsidRPr="00BD4457">
        <w:rPr>
          <w:rFonts w:ascii="Times New Roman" w:hAnsi="Times New Roman"/>
          <w:sz w:val="24"/>
          <w:szCs w:val="24"/>
        </w:rPr>
        <w:t xml:space="preserve">» изучается на </w:t>
      </w:r>
      <w:r w:rsidR="001E2C81">
        <w:rPr>
          <w:rFonts w:ascii="Times New Roman" w:hAnsi="Times New Roman"/>
          <w:sz w:val="24"/>
          <w:szCs w:val="24"/>
        </w:rPr>
        <w:t>1</w:t>
      </w:r>
      <w:r w:rsidR="001E2C81" w:rsidRPr="00BD4457">
        <w:rPr>
          <w:rFonts w:ascii="Times New Roman" w:hAnsi="Times New Roman"/>
          <w:sz w:val="24"/>
          <w:szCs w:val="24"/>
        </w:rPr>
        <w:t xml:space="preserve"> курсе</w:t>
      </w:r>
      <w:r w:rsidR="001E2C81">
        <w:rPr>
          <w:rFonts w:ascii="Times New Roman" w:hAnsi="Times New Roman"/>
          <w:sz w:val="24"/>
          <w:szCs w:val="24"/>
        </w:rPr>
        <w:t xml:space="preserve"> параллельно с</w:t>
      </w:r>
      <w:r w:rsidR="001E2C81" w:rsidRPr="00BD4457">
        <w:rPr>
          <w:rFonts w:ascii="Times New Roman" w:hAnsi="Times New Roman"/>
          <w:sz w:val="24"/>
          <w:szCs w:val="24"/>
        </w:rPr>
        <w:t xml:space="preserve"> дисциплинам</w:t>
      </w:r>
      <w:r w:rsidR="001E2C81">
        <w:rPr>
          <w:rFonts w:ascii="Times New Roman" w:hAnsi="Times New Roman"/>
          <w:sz w:val="24"/>
          <w:szCs w:val="24"/>
        </w:rPr>
        <w:t>и</w:t>
      </w:r>
      <w:r w:rsidR="001E2C81" w:rsidRPr="00BD4457">
        <w:rPr>
          <w:rFonts w:ascii="Times New Roman" w:hAnsi="Times New Roman"/>
          <w:sz w:val="24"/>
          <w:szCs w:val="24"/>
        </w:rPr>
        <w:t xml:space="preserve">: </w:t>
      </w:r>
      <w:r w:rsidR="001E2C81" w:rsidRPr="00DF6413">
        <w:rPr>
          <w:rFonts w:ascii="Times New Roman" w:hAnsi="Times New Roman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  <w:r w:rsidR="001E2C81">
        <w:rPr>
          <w:rFonts w:ascii="Times New Roman" w:hAnsi="Times New Roman"/>
          <w:sz w:val="24"/>
          <w:szCs w:val="24"/>
        </w:rPr>
        <w:t>,</w:t>
      </w:r>
    </w:p>
    <w:p w14:paraId="55FA6E6A" w14:textId="2E3E5ACD" w:rsidR="00E078A0" w:rsidRDefault="001E2C81" w:rsidP="001E2C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413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>
        <w:rPr>
          <w:rFonts w:ascii="Times New Roman" w:hAnsi="Times New Roman"/>
          <w:sz w:val="24"/>
          <w:szCs w:val="24"/>
        </w:rPr>
        <w:t>.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71718C76" w:rsidR="00B077DC" w:rsidRPr="00AE0D16" w:rsidRDefault="00B077DC" w:rsidP="00F3482B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F3482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2B8B1CFB" w:rsidR="00B077DC" w:rsidRPr="006A4CAA" w:rsidRDefault="00B077DC" w:rsidP="00F3482B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F3482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1F51BF49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3482B">
        <w:rPr>
          <w:rFonts w:ascii="Times New Roman" w:hAnsi="Times New Roman"/>
          <w:b/>
          <w:color w:val="000000"/>
          <w:kern w:val="0"/>
          <w:sz w:val="24"/>
          <w:szCs w:val="24"/>
        </w:rPr>
        <w:t>статистического анализа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2.25pt" o:ole="" fillcolor="window">
            <v:imagedata r:id="rId10" o:title=""/>
          </v:shape>
          <o:OLEObject Type="Embed" ProgID="Equation.3" ShapeID="_x0000_i1025" DrawAspect="Content" ObjectID="_1695030642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25pt;height:12.9pt" o:ole="" fillcolor="window">
            <v:imagedata r:id="rId12" o:title=""/>
          </v:shape>
          <o:OLEObject Type="Embed" ProgID="Equation.3" ShapeID="_x0000_i1026" DrawAspect="Content" ObjectID="_1695030643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.15pt;height:19pt" o:ole="" fillcolor="window">
            <v:imagedata r:id="rId14" o:title=""/>
          </v:shape>
          <o:OLEObject Type="Embed" ProgID="Equation.3" ShapeID="_x0000_i1027" DrawAspect="Content" ObjectID="_1695030644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pt" o:ole="" fillcolor="window">
            <v:imagedata r:id="rId16" o:title=""/>
          </v:shape>
          <o:OLEObject Type="Embed" ProgID="Equation.3" ShapeID="_x0000_i1028" DrawAspect="Content" ObjectID="_1695030645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85pt;height:12.25pt" o:ole="" fillcolor="window">
            <v:imagedata r:id="rId18" o:title=""/>
          </v:shape>
          <o:OLEObject Type="Embed" ProgID="Equation.3" ShapeID="_x0000_i1029" DrawAspect="Content" ObjectID="_1695030646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pt;height:21.05pt" o:ole="" fillcolor="window">
            <v:imagedata r:id="rId20" o:title=""/>
          </v:shape>
          <o:OLEObject Type="Embed" ProgID="Equation.3" ShapeID="_x0000_i1030" DrawAspect="Content" ObjectID="_1695030647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25pt;height:14.95pt" o:ole="" fillcolor="window">
            <v:imagedata r:id="rId22" o:title=""/>
          </v:shape>
          <o:OLEObject Type="Embed" ProgID="Equation.3" ShapeID="_x0000_i1031" DrawAspect="Content" ObjectID="_1695030648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25pt;height:12.9pt" o:ole="" fillcolor="window">
            <v:imagedata r:id="rId24" o:title=""/>
          </v:shape>
          <o:OLEObject Type="Embed" ProgID="Equation.3" ShapeID="_x0000_i1032" DrawAspect="Content" ObjectID="_1695030649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85pt;height:12.25pt" o:ole="" fillcolor="window">
            <v:imagedata r:id="rId18" o:title=""/>
          </v:shape>
          <o:OLEObject Type="Embed" ProgID="Equation.3" ShapeID="_x0000_i1033" DrawAspect="Content" ObjectID="_1695030650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85pt;height:12.25pt" o:ole="" fillcolor="window">
            <v:imagedata r:id="rId27" o:title=""/>
          </v:shape>
          <o:OLEObject Type="Embed" ProgID="Equation.3" ShapeID="_x0000_i1034" DrawAspect="Content" ObjectID="_1695030651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15pt;height:14.95pt" o:ole="" fillcolor="window">
            <v:imagedata r:id="rId29" o:title=""/>
          </v:shape>
          <o:OLEObject Type="Embed" ProgID="Equation.3" ShapeID="_x0000_i1035" DrawAspect="Content" ObjectID="_1695030652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.1pt;height:42.1pt" o:ole="">
                        <v:imagedata r:id="rId31" o:title=""/>
                      </v:shape>
                      <o:OLEObject Type="Embed" ProgID="Equation.DSMT4" ShapeID="_x0000_i1036" DrawAspect="Content" ObjectID="_1695030653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15pt;height:36.7pt" o:ole="">
                        <v:imagedata r:id="rId33" o:title=""/>
                      </v:shape>
                      <o:OLEObject Type="Embed" ProgID="Equation.DSMT4" ShapeID="_x0000_i1037" DrawAspect="Content" ObjectID="_1695030654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.1pt;height:42.1pt" o:ole="">
                        <v:imagedata r:id="rId35" o:title=""/>
                      </v:shape>
                      <o:OLEObject Type="Embed" ProgID="Equation.DSMT4" ShapeID="_x0000_i1038" DrawAspect="Content" ObjectID="_1695030655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15pt;height:42.1pt" o:ole="">
                        <v:imagedata r:id="rId37" o:title=""/>
                      </v:shape>
                      <o:OLEObject Type="Embed" ProgID="Equation.DSMT4" ShapeID="_x0000_i1039" DrawAspect="Content" ObjectID="_1695030656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4.95pt;height:20.4pt" o:ole="">
            <v:imagedata r:id="rId41" o:title=""/>
          </v:shape>
          <o:OLEObject Type="Embed" ProgID="Equation.DSMT4" ShapeID="_x0000_i1040" DrawAspect="Content" ObjectID="_1695030657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29.9pt;height:14.95pt" o:ole="">
            <v:imagedata r:id="rId43" o:title=""/>
          </v:shape>
          <o:OLEObject Type="Embed" ProgID="Equation.DSMT4" ShapeID="_x0000_i1041" DrawAspect="Content" ObjectID="_1695030658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D39AF4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E99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CF5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24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493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2C81" w:rsidRPr="00E13DEA" w14:paraId="4CE89E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5162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78DC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D9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C8EB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14:paraId="15DCA66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389297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03B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6C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142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A7B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1E2C81" w:rsidRPr="00B95B66" w14:paraId="2C5467D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933406" w14:textId="77777777" w:rsidR="001E2C81" w:rsidRPr="00B95B66" w:rsidRDefault="001E2C81" w:rsidP="00AC454E">
            <w:pPr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3F9256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04DDC403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B5679A" w14:textId="77777777" w:rsidR="001E2C81" w:rsidRPr="00B95B66" w:rsidRDefault="001E2C81" w:rsidP="00AC454E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E2C81" w:rsidRPr="00B95B66" w14:paraId="128E4B4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20AEB3" w14:textId="77777777" w:rsidR="001E2C81" w:rsidRPr="00B95B66" w:rsidRDefault="001E2C81" w:rsidP="00AC454E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DACBB7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C5F848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4AD2C2F7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E2C81" w:rsidRPr="00B95B66" w14:paraId="37FE7240" w14:textId="77777777" w:rsidTr="00AC454E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EAE2EB" w14:textId="77777777" w:rsidR="001E2C81" w:rsidRPr="00B95B66" w:rsidRDefault="001E2C81" w:rsidP="00AC454E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104271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D1A046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</w:tbl>
    <w:p w14:paraId="6AD47D22" w14:textId="77777777" w:rsidR="001E2C81" w:rsidRDefault="001E2C81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Этапы анализа данных. К</w:t>
      </w:r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5E6F4185" w:rsidR="005E1C8A" w:rsidRDefault="005E1C8A" w:rsidP="005E1C8A">
      <w:pPr>
        <w:ind w:firstLine="708"/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4C924F38" w14:textId="77777777" w:rsidR="00BA4239" w:rsidRPr="00D632B9" w:rsidRDefault="00BA4239" w:rsidP="00BA4239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6D317DA8" w14:textId="77777777" w:rsidR="00BA4239" w:rsidRPr="009B7D36" w:rsidRDefault="00BA4239" w:rsidP="005E1C8A">
      <w:pPr>
        <w:ind w:firstLine="708"/>
        <w:jc w:val="both"/>
        <w:rPr>
          <w:b/>
        </w:rPr>
      </w:pPr>
    </w:p>
    <w:p w14:paraId="1178DC1F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  <w:bookmarkStart w:id="8" w:name="_Toc518759277"/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64A155AB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1C607B1B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3C5F898F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382D091E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32C39965" w14:textId="77777777" w:rsidR="00BA4239" w:rsidRPr="00DC5C62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14E074D6" w14:textId="77777777" w:rsidR="00BA4239" w:rsidRPr="00DC5C62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01EEF19D" w14:textId="77777777" w:rsidR="00BA4239" w:rsidRPr="00DC5C62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46B7CC88" w14:textId="77777777" w:rsidR="00BA4239" w:rsidRPr="00DC5C62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142E559A" w14:textId="77777777" w:rsidR="00BA4239" w:rsidRPr="00DC5C62" w:rsidRDefault="00BA4239" w:rsidP="00BA42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5096B768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4106EF0B" w14:textId="77777777" w:rsidR="00BA4239" w:rsidRDefault="00BA4239" w:rsidP="00BA4239">
      <w:pPr>
        <w:jc w:val="both"/>
        <w:rPr>
          <w:rFonts w:ascii="Times New Roman" w:hAnsi="Times New Roman"/>
          <w:sz w:val="24"/>
        </w:rPr>
      </w:pPr>
    </w:p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5762DAB4" w14:textId="77777777" w:rsidR="00BA4239" w:rsidRPr="00BA4239" w:rsidRDefault="00BA4239" w:rsidP="00BA423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BA4239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 </w:t>
      </w:r>
      <w:r w:rsidRPr="00BA4239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066D0755" w14:textId="77777777" w:rsidR="00BA4239" w:rsidRPr="00BA4239" w:rsidRDefault="00BA4239" w:rsidP="00BA4239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BA4239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3771CC6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сформированности компетенций разработан фонд контрольных заданий.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BA4239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BA4239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BA4239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BA4239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BA4239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BA4239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BA4239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BA4239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BA4239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589E" w14:textId="77777777" w:rsidR="000478F7" w:rsidRDefault="000478F7" w:rsidP="003C0FE8">
      <w:r>
        <w:separator/>
      </w:r>
    </w:p>
  </w:endnote>
  <w:endnote w:type="continuationSeparator" w:id="0">
    <w:p w14:paraId="1CE0EA5A" w14:textId="77777777" w:rsidR="000478F7" w:rsidRDefault="000478F7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78159131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BA4239">
      <w:rPr>
        <w:noProof/>
        <w:sz w:val="24"/>
        <w:szCs w:val="24"/>
      </w:rPr>
      <w:t>17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48E7" w14:textId="77777777" w:rsidR="000478F7" w:rsidRDefault="000478F7" w:rsidP="003C0FE8">
      <w:r>
        <w:separator/>
      </w:r>
    </w:p>
  </w:footnote>
  <w:footnote w:type="continuationSeparator" w:id="0">
    <w:p w14:paraId="4C0C09A9" w14:textId="77777777" w:rsidR="000478F7" w:rsidRDefault="000478F7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478F7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5380C"/>
    <w:rsid w:val="0019374F"/>
    <w:rsid w:val="00196FB0"/>
    <w:rsid w:val="001C315C"/>
    <w:rsid w:val="001C5FF4"/>
    <w:rsid w:val="001C705F"/>
    <w:rsid w:val="001E2C81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67D05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21B45"/>
    <w:rsid w:val="0084001B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A4239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38F7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3482B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19758"/>
  <w15:docId w15:val="{2DC1FBE6-8A86-4B69-BCDE-4A4B58AD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1E2C81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51E9-F767-4114-B33B-CFC734D8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9</cp:revision>
  <dcterms:created xsi:type="dcterms:W3CDTF">2018-09-17T07:18:00Z</dcterms:created>
  <dcterms:modified xsi:type="dcterms:W3CDTF">2021-10-06T10:04:00Z</dcterms:modified>
</cp:coreProperties>
</file>