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FA0F6E" w:rsidRDefault="008E30EC" w:rsidP="008E30EC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8E30EC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8E30EC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F5202D6" w14:textId="77777777" w:rsidR="00C05C97" w:rsidRPr="00C05C97" w:rsidRDefault="008E30EC" w:rsidP="00C05C97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274C2768" w:rsidR="008E30EC" w:rsidRPr="00FA0F6E" w:rsidRDefault="00F33B2A" w:rsidP="00C05C97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14:paraId="5996A992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27AC05DB" w14:textId="77777777" w:rsidR="003863F7" w:rsidRDefault="003863F7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 xml:space="preserve">Административное право, административный процесс </w:t>
      </w:r>
    </w:p>
    <w:p w14:paraId="530F94CD" w14:textId="0D695D15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C1C034E" w14:textId="77777777" w:rsidR="00762CC0" w:rsidRDefault="00762CC0" w:rsidP="00762CC0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набора 2019</w:t>
      </w:r>
    </w:p>
    <w:p w14:paraId="79B79269" w14:textId="77777777" w:rsidR="00762CC0" w:rsidRDefault="00762CC0" w:rsidP="00762CC0">
      <w:pPr>
        <w:ind w:firstLine="567"/>
        <w:jc w:val="center"/>
        <w:rPr>
          <w:rFonts w:ascii="Times New Roman" w:hAnsi="Times New Roman"/>
        </w:rPr>
      </w:pPr>
    </w:p>
    <w:p w14:paraId="1278C680" w14:textId="77777777" w:rsidR="00762CC0" w:rsidRDefault="00762CC0" w:rsidP="00762CC0">
      <w:pPr>
        <w:ind w:firstLine="567"/>
        <w:jc w:val="center"/>
        <w:rPr>
          <w:rFonts w:ascii="Times New Roman" w:hAnsi="Times New Roman"/>
        </w:rPr>
      </w:pPr>
    </w:p>
    <w:p w14:paraId="3FC8EFB5" w14:textId="3E63D5D2" w:rsidR="00D80005" w:rsidRPr="00FA0F6E" w:rsidRDefault="00762CC0" w:rsidP="00762CC0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 xml:space="preserve">Санкт-Петербург, 2018 </w:t>
      </w:r>
      <w:r w:rsidR="00AE0D16" w:rsidRPr="00FA0F6E">
        <w:rPr>
          <w:rFonts w:ascii="Times New Roman" w:hAnsi="Times New Roman"/>
          <w:sz w:val="24"/>
          <w:szCs w:val="24"/>
        </w:rPr>
        <w:t>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8E30EC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8E30EC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8E30EC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8E30EC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8E30EC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8E30EC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A470F0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8E30EC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FA0F6E" w:rsidRDefault="006858C2" w:rsidP="008E30EC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3434D0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3434D0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0F48C2">
      <w:pPr>
        <w:pStyle w:val="1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A0F6E" w:rsidRDefault="006858C2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7ACCC825" w:rsidR="00506A20" w:rsidRPr="00FA0F6E" w:rsidRDefault="00506A20" w:rsidP="00BF7E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Трудоемкость(в академ.часах)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256497" w:rsidRPr="00FA0F6E" w14:paraId="4DE6FA5B" w14:textId="77777777" w:rsidTr="008940F9">
        <w:tc>
          <w:tcPr>
            <w:tcW w:w="4876" w:type="dxa"/>
          </w:tcPr>
          <w:p w14:paraId="1AF2B07E" w14:textId="6C73DFC7" w:rsidR="00256497" w:rsidRPr="00FA0F6E" w:rsidRDefault="00256497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6B699E33" w14:textId="0D73A657" w:rsidR="00256497" w:rsidRPr="00FA0F6E" w:rsidRDefault="003D2C0C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_GoBack"/>
            <w:bookmarkEnd w:id="6"/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FF1EC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8E30EC">
      <w:pPr>
        <w:pStyle w:val="TableParagraph"/>
      </w:pPr>
    </w:p>
    <w:p w14:paraId="238E3EED" w14:textId="35B8EFFB" w:rsidR="006858C2" w:rsidRPr="00FA0F6E" w:rsidRDefault="006858C2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56A7D2F5" w:rsidR="00E078A0" w:rsidRPr="00FA0F6E" w:rsidRDefault="00A915F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F424C">
        <w:rPr>
          <w:rFonts w:ascii="Times New Roman" w:hAnsi="Times New Roman"/>
          <w:sz w:val="24"/>
          <w:szCs w:val="24"/>
        </w:rPr>
        <w:t>относится к вариативной части дисциплин</w:t>
      </w:r>
      <w:r w:rsidR="002F424C" w:rsidRPr="002F424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F424C"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="002F424C">
        <w:rPr>
          <w:rFonts w:ascii="Times New Roman" w:hAnsi="Times New Roman"/>
          <w:sz w:val="24"/>
          <w:szCs w:val="24"/>
        </w:rPr>
        <w:t xml:space="preserve">, в том числе направленных на подготовку к сдаче кандидатского экзамена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3863F7" w:rsidRPr="003863F7">
        <w:rPr>
          <w:rFonts w:ascii="Times New Roman" w:hAnsi="Times New Roman"/>
          <w:sz w:val="24"/>
          <w:szCs w:val="24"/>
        </w:rPr>
        <w:t>Административное право, административный процесс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0F48C2">
      <w:pPr>
        <w:pStyle w:val="1"/>
        <w:rPr>
          <w:rFonts w:cs="Times New Roman"/>
          <w:szCs w:val="24"/>
        </w:rPr>
      </w:pPr>
      <w:bookmarkStart w:id="7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7"/>
    </w:p>
    <w:p w14:paraId="5133EA59" w14:textId="77777777" w:rsidR="00CD03A8" w:rsidRPr="00CD03A8" w:rsidRDefault="00CD03A8" w:rsidP="00CD03A8"/>
    <w:p w14:paraId="48B523E0" w14:textId="77777777" w:rsidR="006858C2" w:rsidRDefault="006858C2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  <w:p w14:paraId="1BB9E81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Наименование тем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(разделов),</w:t>
            </w:r>
          </w:p>
          <w:p w14:paraId="2406DE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CC6604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текущего 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A20E28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8E30EC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CC6604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8E30EC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УО- устный опрос</w:t>
      </w:r>
    </w:p>
    <w:p w14:paraId="14FD2AA4" w14:textId="517689B3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З – задание</w:t>
      </w:r>
    </w:p>
    <w:p w14:paraId="645FFDC0" w14:textId="5F89FACD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8E30EC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8E30EC">
      <w:pPr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FA0F6E" w:rsidRDefault="00A62E69" w:rsidP="008E30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8E30E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8E30EC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</w:t>
      </w:r>
      <w:r w:rsidRPr="00FA0F6E">
        <w:rPr>
          <w:rFonts w:ascii="Times New Roman" w:hAnsi="Times New Roman"/>
          <w:kern w:val="0"/>
          <w:sz w:val="24"/>
          <w:szCs w:val="24"/>
        </w:rPr>
        <w:lastRenderedPageBreak/>
        <w:t xml:space="preserve">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8E30EC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0F48C2">
      <w:pPr>
        <w:pStyle w:val="1"/>
        <w:rPr>
          <w:rFonts w:cs="Times New Roman"/>
          <w:szCs w:val="24"/>
        </w:rPr>
      </w:pPr>
      <w:bookmarkStart w:id="8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8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1303D274" w14:textId="02BEC08E" w:rsidR="006858C2" w:rsidRPr="00FA0F6E" w:rsidRDefault="00881DB6" w:rsidP="008E30EC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CD03A8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CD03A8">
      <w:pPr>
        <w:pStyle w:val="3"/>
        <w:keepNext w:val="0"/>
        <w:widowControl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8E30EC">
      <w:pPr>
        <w:pStyle w:val="3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8E30EC">
      <w:pPr>
        <w:pStyle w:val="3"/>
        <w:keepNext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986531" r:id="rId11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986532" r:id="rId13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986533" r:id="rId15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986534" r:id="rId17"/>
        </w:object>
      </w:r>
      <w:r w:rsidRPr="00FA0F6E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986535" r:id="rId19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986536" r:id="rId21"/>
        </w:object>
      </w:r>
    </w:p>
    <w:p w14:paraId="1C2D1F9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При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986537" r:id="rId23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986538" r:id="rId25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986539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986540" r:id="rId28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986541" r:id="rId30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8E30EC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98654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986543" r:id="rId34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986544" r:id="rId36"/>
                    </w:object>
                  </w:r>
                </w:p>
                <w:p w14:paraId="27D78DC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986545" r:id="rId38"/>
                    </w:object>
                  </w:r>
                </w:p>
                <w:p w14:paraId="6A12B4E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8E30EC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8E30EC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8E30EC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1" o:title=""/>
          </v:shape>
          <o:OLEObject Type="Embed" ProgID="Equation.DSMT4" ShapeID="_x0000_i1040" DrawAspect="Content" ObjectID="_1676986546" r:id="rId42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676986547" r:id="rId44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FA0F6E" w:rsidRDefault="00E36E69" w:rsidP="008E30EC">
      <w:pPr>
        <w:pStyle w:val="ad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Оценить коэффициент корреляции Спирмена с точностью до двух знаков, используя </w:t>
      </w:r>
      <w:r w:rsidRPr="00FA0F6E">
        <w:rPr>
          <w:rFonts w:ascii="Times New Roman" w:hAnsi="Times New Roman"/>
          <w:sz w:val="24"/>
          <w:szCs w:val="24"/>
        </w:rPr>
        <w:lastRenderedPageBreak/>
        <w:t>непараметрическую статистику.</w:t>
      </w:r>
    </w:p>
    <w:p w14:paraId="1E08818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8E30EC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704C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2FE418A6" w:rsidR="006704CF" w:rsidRPr="00FA0F6E" w:rsidRDefault="006704CF" w:rsidP="006704CF">
      <w:pPr>
        <w:pStyle w:val="af"/>
      </w:pPr>
      <w:r w:rsidRPr="00FA0F6E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>
            <w:pPr>
              <w:spacing w:after="20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>
            <w:pPr>
              <w:spacing w:after="120"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>
            <w:pPr>
              <w:spacing w:after="120"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>
            <w:pPr>
              <w:spacing w:after="16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>
            <w:pPr>
              <w:spacing w:after="160"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5C9272AB" w:rsidR="00B625D7" w:rsidRPr="00FA0F6E" w:rsidRDefault="002F424C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  <w:r w:rsidRPr="00FA0F6E"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FA0F6E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>
            <w:pPr>
              <w:spacing w:after="200"/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>
            <w:pPr>
              <w:spacing w:after="200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5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C31E55" w14:textId="77777777" w:rsidR="002F424C" w:rsidRDefault="002F424C" w:rsidP="002F424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вопросы, выносимые на зачет:</w:t>
      </w:r>
    </w:p>
    <w:p w14:paraId="536F778C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Дать определение генеральной совокупности и выборке. Требования к выборке.</w:t>
      </w:r>
    </w:p>
    <w:p w14:paraId="764A1970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Описать разведочный анализ. Методы предобработки и очистки данных.</w:t>
      </w:r>
    </w:p>
    <w:p w14:paraId="13BEC6E4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Назвать методы борьбы с аномалиями. Ящичная диаграмма.</w:t>
      </w:r>
    </w:p>
    <w:p w14:paraId="18E0CD35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>Охарактеризовать р</w:t>
      </w:r>
      <w:r>
        <w:rPr>
          <w:rFonts w:eastAsiaTheme="minorHAnsi"/>
          <w:b w:val="0"/>
          <w:lang w:eastAsia="en-US"/>
        </w:rPr>
        <w:t xml:space="preserve">есамплинг. Понятие бутстрепа. </w:t>
      </w:r>
    </w:p>
    <w:p w14:paraId="032D1C76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>Анализировать г</w:t>
      </w:r>
      <w:r>
        <w:rPr>
          <w:rFonts w:eastAsiaTheme="minorHAnsi"/>
          <w:b w:val="0"/>
          <w:lang w:eastAsia="en-US"/>
        </w:rPr>
        <w:t>рафические методы анализа. Гистограмма. Диаграмма рассеяния.</w:t>
      </w:r>
    </w:p>
    <w:p w14:paraId="74A982CD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>Исследовать к</w:t>
      </w:r>
      <w:r>
        <w:rPr>
          <w:rFonts w:eastAsiaTheme="minorHAnsi"/>
          <w:b w:val="0"/>
          <w:lang w:eastAsia="en-US"/>
        </w:rPr>
        <w:t xml:space="preserve">орреляционный анализ. </w:t>
      </w:r>
    </w:p>
    <w:p w14:paraId="260BEB90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>Объяснить с</w:t>
      </w:r>
      <w:r>
        <w:rPr>
          <w:rFonts w:eastAsiaTheme="minorHAnsi"/>
          <w:b w:val="0"/>
          <w:lang w:eastAsia="en-US"/>
        </w:rPr>
        <w:t>татистические гипотезы.</w:t>
      </w:r>
    </w:p>
    <w:p w14:paraId="3258ABE2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lastRenderedPageBreak/>
        <w:t xml:space="preserve">Привести примеры задач проверки статистических гипотез. </w:t>
      </w:r>
    </w:p>
    <w:p w14:paraId="0EC6DC44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 xml:space="preserve">Перечислить инструменты статистического анализа современных программных продуктов. </w:t>
      </w:r>
    </w:p>
    <w:p w14:paraId="7DFCC409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Дать общую характеристику </w:t>
      </w:r>
      <w:r>
        <w:rPr>
          <w:rFonts w:eastAsiaTheme="minorHAnsi"/>
          <w:b w:val="0"/>
          <w:lang w:val="en-US" w:eastAsia="en-US"/>
        </w:rPr>
        <w:t>SPSS</w:t>
      </w:r>
      <w:r>
        <w:rPr>
          <w:rFonts w:eastAsiaTheme="minorHAnsi"/>
          <w:b w:val="0"/>
          <w:lang w:eastAsia="en-US"/>
        </w:rPr>
        <w:t>.</w:t>
      </w:r>
    </w:p>
    <w:p w14:paraId="64F99B55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>
        <w:rPr>
          <w:b w:val="0"/>
        </w:rPr>
        <w:t>Описать о</w:t>
      </w:r>
      <w:r>
        <w:rPr>
          <w:rFonts w:eastAsiaTheme="minorHAnsi"/>
          <w:b w:val="0"/>
          <w:lang w:eastAsia="en-US"/>
        </w:rPr>
        <w:t xml:space="preserve">бработку данных с помощью </w:t>
      </w:r>
      <w:r>
        <w:rPr>
          <w:rFonts w:eastAsiaTheme="minorHAnsi"/>
          <w:b w:val="0"/>
          <w:lang w:val="en-US" w:eastAsia="en-US"/>
        </w:rPr>
        <w:t>Excel</w:t>
      </w:r>
      <w:r>
        <w:rPr>
          <w:rFonts w:eastAsiaTheme="minorHAnsi"/>
          <w:b w:val="0"/>
          <w:lang w:eastAsia="en-US"/>
        </w:rPr>
        <w:t>. Надстройка «Анализ данны».</w:t>
      </w:r>
    </w:p>
    <w:p w14:paraId="56C8F4B4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Дать определение понятия «машинное обучение». Классификация методов машинного обучения.</w:t>
      </w:r>
    </w:p>
    <w:p w14:paraId="76607BA6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Перечислить этапы анализа данных. К</w:t>
      </w:r>
      <w:r>
        <w:rPr>
          <w:b w:val="0"/>
          <w:lang w:val="en-US"/>
        </w:rPr>
        <w:t>DD</w:t>
      </w:r>
      <w:r>
        <w:rPr>
          <w:b w:val="0"/>
        </w:rPr>
        <w:t>.</w:t>
      </w:r>
    </w:p>
    <w:p w14:paraId="6E747C79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  <w:lang w:val="en-US"/>
        </w:rPr>
      </w:pPr>
      <w:r>
        <w:rPr>
          <w:b w:val="0"/>
        </w:rPr>
        <w:t xml:space="preserve">Охарактеризовать </w:t>
      </w:r>
      <w:r>
        <w:rPr>
          <w:b w:val="0"/>
          <w:lang w:val="en-US"/>
        </w:rPr>
        <w:t xml:space="preserve">Data Mining. </w:t>
      </w:r>
    </w:p>
    <w:p w14:paraId="05D820D3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 xml:space="preserve">Описать средства обработки </w:t>
      </w:r>
      <w:r>
        <w:rPr>
          <w:b w:val="0"/>
          <w:lang w:val="en-US"/>
        </w:rPr>
        <w:t>Data Mining</w:t>
      </w:r>
    </w:p>
    <w:p w14:paraId="4F7003A9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Дать общая характеристику задач кластерного анализа.</w:t>
      </w:r>
    </w:p>
    <w:p w14:paraId="17494F67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Описать метрики кластерного анализа.</w:t>
      </w:r>
    </w:p>
    <w:p w14:paraId="7277D032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Раскрыть методы определения близости между кластерами.</w:t>
      </w:r>
    </w:p>
    <w:p w14:paraId="797B0DB0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  <w:color w:val="000000"/>
        </w:rPr>
        <w:t>Определить и</w:t>
      </w:r>
      <w:r>
        <w:rPr>
          <w:b w:val="0"/>
        </w:rPr>
        <w:t>ерархическую кластеризацию. Дендограмма.</w:t>
      </w:r>
    </w:p>
    <w:p w14:paraId="00C91F23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 xml:space="preserve">Описать метод </w:t>
      </w:r>
      <w:r>
        <w:rPr>
          <w:b w:val="0"/>
          <w:lang w:val="en-US"/>
        </w:rPr>
        <w:t xml:space="preserve">k </w:t>
      </w:r>
      <w:r>
        <w:rPr>
          <w:b w:val="0"/>
        </w:rPr>
        <w:t>-средних.</w:t>
      </w:r>
    </w:p>
    <w:p w14:paraId="3EBC417B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 xml:space="preserve">Объяснить метод </w:t>
      </w:r>
      <w:r>
        <w:rPr>
          <w:b w:val="0"/>
          <w:lang w:val="en-US"/>
        </w:rPr>
        <w:t>k</w:t>
      </w:r>
      <w:r>
        <w:rPr>
          <w:b w:val="0"/>
        </w:rPr>
        <w:t>-ближайших соседей.</w:t>
      </w:r>
    </w:p>
    <w:p w14:paraId="5728D543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Раскрыть общую характеристику деревьев решений.</w:t>
      </w:r>
    </w:p>
    <w:p w14:paraId="548A5EE1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  <w:color w:val="000000"/>
        </w:rPr>
        <w:t>Определить а</w:t>
      </w:r>
      <w:r>
        <w:rPr>
          <w:b w:val="0"/>
        </w:rPr>
        <w:t>лгоритмы построения деревьев решений.</w:t>
      </w:r>
    </w:p>
    <w:p w14:paraId="5B66BB06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 xml:space="preserve">Исследовать оценку качества классификации. Задачи классификации. </w:t>
      </w:r>
      <w:r>
        <w:rPr>
          <w:b w:val="0"/>
          <w:lang w:val="en-US"/>
        </w:rPr>
        <w:t>ROC</w:t>
      </w:r>
      <w:r>
        <w:rPr>
          <w:b w:val="0"/>
        </w:rPr>
        <w:t>-кривая. Таблица сопряженности.</w:t>
      </w:r>
    </w:p>
    <w:p w14:paraId="0F21B47E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Охарактеризовать нейронные сети. Архитектура. Примеры решения</w:t>
      </w:r>
    </w:p>
    <w:p w14:paraId="1B15FB0D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Дать 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354CDAD2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Описать нейронные сети. Перцептрон. Радиальные базисные сети.</w:t>
      </w:r>
    </w:p>
    <w:p w14:paraId="60736D80" w14:textId="77777777" w:rsidR="002F424C" w:rsidRDefault="002F424C" w:rsidP="002F424C">
      <w:pPr>
        <w:pStyle w:val="af"/>
        <w:numPr>
          <w:ilvl w:val="0"/>
          <w:numId w:val="16"/>
        </w:numPr>
        <w:textAlignment w:val="auto"/>
        <w:rPr>
          <w:b w:val="0"/>
        </w:rPr>
      </w:pPr>
      <w:r>
        <w:rPr>
          <w:b w:val="0"/>
        </w:rPr>
        <w:t>Объяснить использование карты Кохоннена для решения задач классификации.</w:t>
      </w:r>
    </w:p>
    <w:p w14:paraId="156A44C4" w14:textId="77777777" w:rsidR="00EA0D58" w:rsidRPr="00FA0F6E" w:rsidRDefault="00EA0D58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87BD6A" w14:textId="77777777" w:rsidR="00256497" w:rsidRDefault="00256497" w:rsidP="00256497">
      <w:pPr>
        <w:ind w:firstLine="567"/>
        <w:rPr>
          <w:rFonts w:ascii="Times New Roman" w:hAnsi="Times New Roman"/>
          <w:b/>
          <w:kern w:val="0"/>
          <w:lang w:eastAsia="en-US"/>
        </w:rPr>
      </w:pPr>
      <w:r>
        <w:rPr>
          <w:rFonts w:ascii="Times New Roman" w:hAnsi="Times New Roman"/>
          <w:b/>
          <w:lang w:eastAsia="en-US"/>
        </w:rPr>
        <w:t>Шкала оценивания</w:t>
      </w:r>
    </w:p>
    <w:p w14:paraId="267A742F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42C7FF66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0D9DBB1C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771FC67C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190E6E6C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59AEE3F3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</w:t>
      </w:r>
      <w:r>
        <w:rPr>
          <w:rFonts w:ascii="Times New Roman" w:hAnsi="Times New Roman"/>
          <w:color w:val="000000"/>
        </w:rPr>
        <w:lastRenderedPageBreak/>
        <w:t>ответе допускает незначительные ошибки, неточности по названным критериям, которые не искажают сути ответа;</w:t>
      </w:r>
    </w:p>
    <w:p w14:paraId="256BBC64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31271D5F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449EA592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1542A6A3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38FF7177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3AB0A930" w14:textId="77777777" w:rsidR="00256497" w:rsidRDefault="00256497" w:rsidP="0025649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265770CE" w14:textId="77777777" w:rsidR="00256497" w:rsidRDefault="00256497" w:rsidP="00256497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038F4490" w14:textId="77777777" w:rsidR="00256497" w:rsidRDefault="00256497" w:rsidP="00256497">
      <w:pPr>
        <w:shd w:val="clear" w:color="auto" w:fill="FFFFFF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256497" w14:paraId="1EA96D3F" w14:textId="77777777" w:rsidTr="00256497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604DB" w14:textId="77777777" w:rsidR="00256497" w:rsidRDefault="00256497">
            <w:pPr>
              <w:spacing w:line="256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51668" w14:textId="77777777" w:rsidR="00256497" w:rsidRDefault="0025649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256497" w14:paraId="0AB006B2" w14:textId="77777777" w:rsidTr="00256497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0DF14" w14:textId="77777777" w:rsidR="00256497" w:rsidRDefault="0025649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AF043" w14:textId="77777777" w:rsidR="00256497" w:rsidRDefault="0025649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6BBB4418" w14:textId="77777777" w:rsidR="00503F49" w:rsidRPr="00FA0F6E" w:rsidRDefault="00503F49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503F4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8E30EC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9"/>
    </w:p>
    <w:p w14:paraId="287566ED" w14:textId="07FBF533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</w:t>
      </w:r>
      <w:r w:rsidRPr="00FA0F6E">
        <w:rPr>
          <w:rFonts w:ascii="Times New Roman" w:hAnsi="Times New Roman"/>
          <w:sz w:val="24"/>
          <w:szCs w:val="24"/>
        </w:rPr>
        <w:lastRenderedPageBreak/>
        <w:t>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8E30EC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6704CF">
      <w:pPr>
        <w:pStyle w:val="af"/>
        <w:rPr>
          <w:rFonts w:eastAsia="Courier New"/>
          <w:lang w:bidi="ru-RU"/>
        </w:rPr>
      </w:pPr>
      <w:r w:rsidRPr="00FA0F6E"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409BD313" w14:textId="77777777" w:rsidR="002B5B38" w:rsidRDefault="002B5B38" w:rsidP="002B5B38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http://www.iprbookshop.ru/81325.html</w:t>
      </w:r>
    </w:p>
    <w:p w14:paraId="34FD4D14" w14:textId="77777777" w:rsidR="002B5B38" w:rsidRDefault="002B5B38" w:rsidP="002B5B38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7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7482D58C" w14:textId="77777777" w:rsidR="002B5B38" w:rsidRDefault="002B5B38" w:rsidP="002B5B38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5A476188" w14:textId="77777777" w:rsidR="002B5B38" w:rsidRDefault="002B5B38" w:rsidP="002B5B38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7F757A0A" w14:textId="77777777" w:rsidR="002B5B38" w:rsidRDefault="002B5B38" w:rsidP="002B5B38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8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58D7D774" w14:textId="77777777" w:rsidR="002B5B38" w:rsidRDefault="002B5B38" w:rsidP="002B5B38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9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6B7166DD" w14:textId="77777777" w:rsidR="002B5B38" w:rsidRDefault="002B5B38" w:rsidP="002B5B38">
      <w:pPr>
        <w:suppressAutoHyphens w:val="0"/>
        <w:ind w:left="567"/>
        <w:jc w:val="both"/>
        <w:rPr>
          <w:rStyle w:val="citation"/>
          <w:b/>
        </w:rPr>
      </w:pPr>
      <w:r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7884116F" w14:textId="77777777" w:rsidR="002B5B38" w:rsidRDefault="002B5B38" w:rsidP="002B5B38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Style w:val="af4"/>
          <w:i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50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7D9DD7EA" w14:textId="77777777" w:rsidR="002B5B38" w:rsidRDefault="002B5B38" w:rsidP="002B5B38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1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2B71314F" w14:textId="77777777" w:rsidR="002B5B38" w:rsidRDefault="002B5B38" w:rsidP="002B5B38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</w:t>
      </w:r>
      <w:r>
        <w:rPr>
          <w:rFonts w:ascii="Times New Roman" w:hAnsi="Times New Roman"/>
          <w:sz w:val="24"/>
          <w:szCs w:val="24"/>
        </w:rPr>
        <w:lastRenderedPageBreak/>
        <w:t>Федерации, Сев.-Зап. ин-т упр. - СПб. : Изд-во СЗИУ РАНХиГС, 2012. - 564 c.</w:t>
      </w:r>
    </w:p>
    <w:p w14:paraId="307D5C92" w14:textId="77777777" w:rsidR="002B5B38" w:rsidRDefault="002B5B38" w:rsidP="002B5B38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2" w:history="1">
        <w:r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45521B5" w14:textId="77777777" w:rsidR="002B5B38" w:rsidRDefault="002B5B38" w:rsidP="002B5B38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0FB0055" w14:textId="77777777" w:rsidR="002B5B38" w:rsidRDefault="002B5B38" w:rsidP="002B5B38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1848A615" w14:textId="77777777" w:rsidR="002B5B38" w:rsidRDefault="002B5B38" w:rsidP="002B5B38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36182801" w14:textId="77777777" w:rsidR="002B5B38" w:rsidRDefault="002B5B38" w:rsidP="002B5B38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7C386ED" w14:textId="77777777" w:rsidR="002B5B38" w:rsidRDefault="002B5B38" w:rsidP="002B5B38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9.Сараев, П. В. Методы машинного обучения [Электронный ресурс] : методические 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3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031C26C4" w14:textId="77777777" w:rsidR="002B5B38" w:rsidRDefault="002B5B38" w:rsidP="002B5B38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4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6A07D98F" w14:textId="77777777" w:rsidR="002B5B38" w:rsidRDefault="002B5B38" w:rsidP="002B5B38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2312C" w14:textId="77777777" w:rsidR="002B5B38" w:rsidRDefault="002B5B38" w:rsidP="002B5B38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2B5B38" w14:paraId="74FD38BA" w14:textId="77777777" w:rsidTr="002B5B3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6E3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№</w:t>
            </w:r>
          </w:p>
          <w:p w14:paraId="31674409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F22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14:paraId="4A7C2F3B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Раздела/темы</w:t>
            </w:r>
          </w:p>
          <w:p w14:paraId="192CC925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5AB1" w14:textId="77777777" w:rsidR="002B5B38" w:rsidRDefault="002B5B3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2B5B38" w14:paraId="2675195B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1E26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64E9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EE9A" w14:textId="77777777" w:rsidR="002B5B38" w:rsidRDefault="002B5B38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</w:t>
            </w:r>
          </w:p>
          <w:p w14:paraId="6F944702" w14:textId="77777777" w:rsidR="002B5B38" w:rsidRDefault="002B5B38">
            <w:pPr>
              <w:snapToGrid w:val="0"/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2B5B38" w14:paraId="707F5E14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74D3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A868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6B09" w14:textId="77777777" w:rsidR="002B5B38" w:rsidRDefault="002B5B38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>
              <w:rPr>
                <w:lang w:eastAsia="en-US"/>
              </w:rPr>
              <w:t xml:space="preserve"> </w:t>
            </w:r>
          </w:p>
          <w:p w14:paraId="6BDBF628" w14:textId="77777777" w:rsidR="002B5B38" w:rsidRDefault="002B5B38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</w:t>
            </w:r>
          </w:p>
        </w:tc>
      </w:tr>
      <w:tr w:rsidR="002B5B38" w14:paraId="7044BB03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27B7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7A76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D8AE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 xml:space="preserve">Жуковский, О. И. Информационные технологии и анализ данных [Электронный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 xml:space="preserve">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350086EB" w14:textId="77777777" w:rsidR="002B5B38" w:rsidRDefault="002B5B38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6704CF">
      <w:pPr>
        <w:pStyle w:val="af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FA0F6E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12100691" w14:textId="77777777" w:rsidR="00FA0F6E" w:rsidRPr="00FA0F6E" w:rsidRDefault="00FA0F6E" w:rsidP="008E30EC">
      <w:pPr>
        <w:suppressAutoHyphens w:val="0"/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FA0F6E" w:rsidRDefault="00A74FDB" w:rsidP="006704CF">
      <w:pPr>
        <w:pStyle w:val="af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8E30EC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5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FA0F6E">
        <w:rPr>
          <w:sz w:val="24"/>
          <w:szCs w:val="24"/>
        </w:rPr>
        <w:t xml:space="preserve"> </w:t>
      </w:r>
      <w:hyperlink r:id="rId56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8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9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FA0F6E">
        <w:rPr>
          <w:sz w:val="24"/>
          <w:szCs w:val="24"/>
        </w:rPr>
        <w:br/>
      </w:r>
      <w:hyperlink r:id="rId60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1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Ист-Вью </w:t>
      </w:r>
      <w:hyperlink r:id="rId6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bCs/>
          <w:color w:val="000000" w:themeColor="text1"/>
          <w:sz w:val="24"/>
          <w:szCs w:val="24"/>
        </w:rPr>
        <w:t>Emerald eJournals Premier</w:t>
      </w:r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8E30EC">
      <w:pPr>
        <w:suppressAutoHyphens w:val="0"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BB11C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3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BB11C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4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BB11C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5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BB11C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6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BB11C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7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BB11C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8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BB11C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BB11C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1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2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4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5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0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1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2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3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4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5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6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7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BB11C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8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76F1DFD" w14:textId="7E3BA501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</w:p>
    <w:p w14:paraId="28837AE9" w14:textId="77777777" w:rsidR="005C230E" w:rsidRDefault="005C230E" w:rsidP="005C230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>
            <w:pPr>
              <w:snapToGrid w:val="0"/>
              <w:spacing w:before="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5C230E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90"/>
      <w:footerReference w:type="even" r:id="rId91"/>
      <w:footerReference w:type="default" r:id="rId9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E04D" w14:textId="77777777" w:rsidR="00BB11C1" w:rsidRDefault="00BB11C1" w:rsidP="003C0FE8">
      <w:r>
        <w:separator/>
      </w:r>
    </w:p>
  </w:endnote>
  <w:endnote w:type="continuationSeparator" w:id="0">
    <w:p w14:paraId="73B6E8EC" w14:textId="77777777" w:rsidR="00BB11C1" w:rsidRDefault="00BB11C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79E8FB01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D2C0C">
      <w:rPr>
        <w:noProof/>
        <w:sz w:val="24"/>
        <w:szCs w:val="24"/>
      </w:rPr>
      <w:t>5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41F1" w14:textId="77777777" w:rsidR="00BB11C1" w:rsidRDefault="00BB11C1" w:rsidP="003C0FE8">
      <w:r>
        <w:separator/>
      </w:r>
    </w:p>
  </w:footnote>
  <w:footnote w:type="continuationSeparator" w:id="0">
    <w:p w14:paraId="3F652736" w14:textId="77777777" w:rsidR="00BB11C1" w:rsidRDefault="00BB11C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8E30EC" w:rsidRDefault="008E30E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058D0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56497"/>
    <w:rsid w:val="00275F55"/>
    <w:rsid w:val="00276610"/>
    <w:rsid w:val="0028225D"/>
    <w:rsid w:val="00290479"/>
    <w:rsid w:val="00297B91"/>
    <w:rsid w:val="002B5B38"/>
    <w:rsid w:val="002B5FAF"/>
    <w:rsid w:val="002B6EB7"/>
    <w:rsid w:val="002C6FB8"/>
    <w:rsid w:val="002E640A"/>
    <w:rsid w:val="002F21FD"/>
    <w:rsid w:val="002F424C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63F7"/>
    <w:rsid w:val="00387F97"/>
    <w:rsid w:val="003A5F72"/>
    <w:rsid w:val="003B2B1B"/>
    <w:rsid w:val="003C0FE8"/>
    <w:rsid w:val="003D2C0C"/>
    <w:rsid w:val="003D30E8"/>
    <w:rsid w:val="003E252A"/>
    <w:rsid w:val="003E76F4"/>
    <w:rsid w:val="00400075"/>
    <w:rsid w:val="00411E59"/>
    <w:rsid w:val="00416417"/>
    <w:rsid w:val="00431589"/>
    <w:rsid w:val="0046440A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9682A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2CC0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11C1"/>
    <w:rsid w:val="00BB3270"/>
    <w:rsid w:val="00BC541F"/>
    <w:rsid w:val="00BC633B"/>
    <w:rsid w:val="00BE728A"/>
    <w:rsid w:val="00BF3A1D"/>
    <w:rsid w:val="00BF59E7"/>
    <w:rsid w:val="00BF7EC7"/>
    <w:rsid w:val="00C05C11"/>
    <w:rsid w:val="00C05C97"/>
    <w:rsid w:val="00C211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73C9E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33B2A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122DF5B2-01F7-4000-B454-AC0A2F5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iprbookshop.ru/65865.html" TargetMode="External"/><Relationship Id="rId50" Type="http://schemas.openxmlformats.org/officeDocument/2006/relationships/hyperlink" Target="http://www.iprbookshop.ru/73811.html" TargetMode="External"/><Relationship Id="rId55" Type="http://schemas.openxmlformats.org/officeDocument/2006/relationships/hyperlink" Target="http://nwipa.ru" TargetMode="External"/><Relationship Id="rId63" Type="http://schemas.openxmlformats.org/officeDocument/2006/relationships/hyperlink" Target="http://www.finexpert.ru" TargetMode="External"/><Relationship Id="rId68" Type="http://schemas.openxmlformats.org/officeDocument/2006/relationships/hyperlink" Target="http://www.gartner.com/" TargetMode="External"/><Relationship Id="rId76" Type="http://schemas.openxmlformats.org/officeDocument/2006/relationships/hyperlink" Target="http://office.microsoft.com/ru-ru/support/FX100996114.aspx" TargetMode="External"/><Relationship Id="rId84" Type="http://schemas.openxmlformats.org/officeDocument/2006/relationships/hyperlink" Target="http://www-03.ibm.com/software/products/ru/ru/wbi" TargetMode="External"/><Relationship Id="rId89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etec.ru/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83183.html" TargetMode="External"/><Relationship Id="rId58" Type="http://schemas.openxmlformats.org/officeDocument/2006/relationships/hyperlink" Target="http://www.iprbookshop.ru/" TargetMode="External"/><Relationship Id="rId66" Type="http://schemas.openxmlformats.org/officeDocument/2006/relationships/hyperlink" Target="http://www.prj-exp.ru/" TargetMode="External"/><Relationship Id="rId74" Type="http://schemas.openxmlformats.org/officeDocument/2006/relationships/hyperlink" Target="http://www.interface.ru/home.asp?artId=4449" TargetMode="External"/><Relationship Id="rId79" Type="http://schemas.openxmlformats.org/officeDocument/2006/relationships/hyperlink" Target="http://www.businessstudio.ru/" TargetMode="External"/><Relationship Id="rId87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oracle.com/technetwork/ru/middleware/bpa/index.html" TargetMode="External"/><Relationship Id="rId90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www.iprbookshop.ru/57384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tnews.ru/" TargetMode="External"/><Relationship Id="rId69" Type="http://schemas.openxmlformats.org/officeDocument/2006/relationships/hyperlink" Target="http://www.idc.com/" TargetMode="External"/><Relationship Id="rId77" Type="http://schemas.openxmlformats.org/officeDocument/2006/relationships/hyperlink" Target="http://wf.runa.ru/rus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77633.html" TargetMode="External"/><Relationship Id="rId72" Type="http://schemas.openxmlformats.org/officeDocument/2006/relationships/hyperlink" Target="http://www.cfin.ru/" TargetMode="External"/><Relationship Id="rId80" Type="http://schemas.openxmlformats.org/officeDocument/2006/relationships/hyperlink" Target="http://www.casewise.com/ru/products/corporate_modeler_suite.html" TargetMode="External"/><Relationship Id="rId85" Type="http://schemas.openxmlformats.org/officeDocument/2006/relationships/hyperlink" Target="http://www.consultant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piter-consult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iprbookshop.ru/78563.html" TargetMode="External"/><Relationship Id="rId62" Type="http://schemas.openxmlformats.org/officeDocument/2006/relationships/hyperlink" Target="http://www.nwapa.spb.ru/index.php?page_id=76" TargetMode="External"/><Relationship Id="rId70" Type="http://schemas.openxmlformats.org/officeDocument/2006/relationships/hyperlink" Target="http://bpms.ru/" TargetMode="External"/><Relationship Id="rId75" Type="http://schemas.openxmlformats.org/officeDocument/2006/relationships/hyperlink" Target="http://www.fa.ru/dep/cko/msq/Pages/default.aspx%20/" TargetMode="External"/><Relationship Id="rId83" Type="http://schemas.openxmlformats.org/officeDocument/2006/relationships/hyperlink" Target="http://www.softwareag.com/ru" TargetMode="External"/><Relationship Id="rId88" Type="http://schemas.openxmlformats.org/officeDocument/2006/relationships/hyperlink" Target="http://www.garant.ru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2106.html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www.biblio-online.ru/viewer/46A41F93-BC46-401C-A30E-27C0FB60B9DE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cnews.ru/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bizagi.com/" TargetMode="External"/><Relationship Id="rId81" Type="http://schemas.openxmlformats.org/officeDocument/2006/relationships/hyperlink" Target="http://www.interface.ru/home.asp?artId=106" TargetMode="External"/><Relationship Id="rId86" Type="http://schemas.openxmlformats.org/officeDocument/2006/relationships/hyperlink" Target="http://www.garant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6A5F-BC65-490E-964A-4B1D434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37</cp:revision>
  <dcterms:created xsi:type="dcterms:W3CDTF">2018-09-11T08:02:00Z</dcterms:created>
  <dcterms:modified xsi:type="dcterms:W3CDTF">2021-03-11T13:46:00Z</dcterms:modified>
</cp:coreProperties>
</file>