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Pr="00815EA7" w:rsidRDefault="0035368E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5EA7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Приложение 7 ОП </w:t>
      </w:r>
      <w:proofErr w:type="gramStart"/>
      <w:r w:rsidRPr="00815EA7">
        <w:rPr>
          <w:rFonts w:ascii="Times New Roman" w:eastAsia="Arial Unicode MS" w:hAnsi="Times New Roman" w:cs="Times New Roman"/>
          <w:b/>
          <w:sz w:val="24"/>
          <w:szCs w:val="24"/>
        </w:rPr>
        <w:t>ВО</w:t>
      </w:r>
      <w:proofErr w:type="gramEnd"/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815EA7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815EA7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815EA7" w:rsidRDefault="00B208AD" w:rsidP="00787EB4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5368E" w:rsidRPr="00815E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5368E" w:rsidRPr="00815EA7">
        <w:rPr>
          <w:rFonts w:ascii="Times New Roman" w:hAnsi="Times New Roman" w:cs="Times New Roman"/>
          <w:b/>
          <w:sz w:val="24"/>
          <w:szCs w:val="24"/>
        </w:rPr>
        <w:t xml:space="preserve"> филиал </w:t>
      </w:r>
      <w:proofErr w:type="spellStart"/>
      <w:r w:rsidR="0035368E" w:rsidRPr="00815EA7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</w:p>
    <w:p w:rsidR="00B208AD" w:rsidRPr="00815EA7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815EA7" w:rsidRDefault="00B208AD" w:rsidP="00787EB4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815EA7" w:rsidTr="0035368E">
        <w:trPr>
          <w:trHeight w:val="2430"/>
        </w:trPr>
        <w:tc>
          <w:tcPr>
            <w:tcW w:w="5070" w:type="dxa"/>
          </w:tcPr>
          <w:p w:rsidR="00B208AD" w:rsidRPr="00815EA7" w:rsidRDefault="00B208AD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815EA7" w:rsidRDefault="00B208AD" w:rsidP="00787EB4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815EA7" w:rsidRDefault="0035368E" w:rsidP="00787EB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F59EB" w:rsidRPr="00815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815EA7" w:rsidRDefault="0035368E" w:rsidP="00787EB4">
            <w:pPr>
              <w:widowControl w:val="0"/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815EA7" w:rsidRDefault="00C5097C" w:rsidP="00787EB4">
            <w:pPr>
              <w:widowControl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F10BBC" w:rsidRPr="00815EA7" w:rsidRDefault="00F10BBC" w:rsidP="00787EB4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557BB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815EA7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.В.ДВ</w:t>
      </w:r>
      <w:r w:rsidRPr="00815EA7">
        <w:rPr>
          <w:rFonts w:ascii="Times New Roman" w:hAnsi="Times New Roman" w:cs="Times New Roman"/>
          <w:b/>
          <w:sz w:val="24"/>
          <w:szCs w:val="24"/>
        </w:rPr>
        <w:t>.3.1</w:t>
      </w:r>
    </w:p>
    <w:p w:rsidR="00F10BBC" w:rsidRPr="00815EA7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815EA7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815EA7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73944" w:rsidRPr="00815EA7" w:rsidRDefault="00173944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15EA7">
        <w:rPr>
          <w:rFonts w:ascii="Times New Roman" w:hAnsi="Times New Roman" w:cs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</w:p>
    <w:p w:rsidR="00B208AD" w:rsidRPr="00815EA7" w:rsidRDefault="0035368E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CF59EB" w:rsidRPr="00815EA7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815EA7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815EA7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815EA7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F59EB" w:rsidRPr="00815EA7" w:rsidRDefault="00CF59EB" w:rsidP="00787EB4">
      <w:pPr>
        <w:widowControl w:val="0"/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15EA7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CF59EB" w:rsidRPr="00815EA7" w:rsidRDefault="00CF59EB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7D290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Год набора 20</w:t>
      </w:r>
      <w:r w:rsidR="00E70027" w:rsidRPr="00815E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0170C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896545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D290C" w:rsidRPr="00815EA7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5097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10BBC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815EA7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815EA7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815EA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815EA7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C2469" w:rsidRPr="00815EA7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., профессор кафедры правоведения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815EA7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815EA7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815EA7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815EA7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815EA7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815EA7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815EA7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815EA7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815EA7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8B3264" w:rsidRPr="00815EA7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35368E"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5EA7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F2398" w:rsidRPr="00815EA7" w:rsidRDefault="008F2398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по дисциплине (модулю) 9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 (модуля)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8F2398" w:rsidRPr="00815EA7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815EA7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815EA7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815EA7" w:rsidRDefault="00F10BBC" w:rsidP="00787EB4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815E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программы</w:t>
      </w:r>
    </w:p>
    <w:p w:rsidR="00F10BBC" w:rsidRPr="00815EA7" w:rsidRDefault="006414D7" w:rsidP="00787EB4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15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815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815EA7">
        <w:rPr>
          <w:rFonts w:ascii="Times New Roman" w:hAnsi="Times New Roman" w:cs="Times New Roman"/>
          <w:sz w:val="24"/>
          <w:szCs w:val="24"/>
        </w:rPr>
        <w:t>.В.ДВ.</w:t>
      </w:r>
      <w:r w:rsidR="00C5097C">
        <w:rPr>
          <w:rFonts w:ascii="Times New Roman" w:hAnsi="Times New Roman" w:cs="Times New Roman"/>
          <w:sz w:val="24"/>
          <w:szCs w:val="24"/>
        </w:rPr>
        <w:t>2</w:t>
      </w:r>
      <w:r w:rsidR="00173944" w:rsidRPr="00815EA7">
        <w:rPr>
          <w:rFonts w:ascii="Times New Roman" w:hAnsi="Times New Roman" w:cs="Times New Roman"/>
          <w:sz w:val="24"/>
          <w:szCs w:val="24"/>
        </w:rPr>
        <w:t>.</w:t>
      </w:r>
      <w:r w:rsidR="00C5097C">
        <w:rPr>
          <w:rFonts w:ascii="Times New Roman" w:hAnsi="Times New Roman" w:cs="Times New Roman"/>
          <w:sz w:val="24"/>
          <w:szCs w:val="24"/>
        </w:rPr>
        <w:t>2</w:t>
      </w:r>
      <w:r w:rsidR="00173944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815EA7">
        <w:rPr>
          <w:rFonts w:ascii="Times New Roman" w:hAnsi="Times New Roman" w:cs="Times New Roman"/>
          <w:sz w:val="24"/>
          <w:szCs w:val="24"/>
        </w:rPr>
        <w:t>«</w:t>
      </w:r>
      <w:r w:rsidR="00B872A8" w:rsidRPr="00815E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815EA7">
        <w:rPr>
          <w:rFonts w:ascii="Times New Roman" w:hAnsi="Times New Roman" w:cs="Times New Roman"/>
          <w:sz w:val="24"/>
          <w:szCs w:val="24"/>
        </w:rPr>
        <w:t>»</w:t>
      </w:r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815EA7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966E5" w:rsidTr="00096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966E5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966E5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Default="000966E5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294954" w:rsidRPr="00815EA7" w:rsidRDefault="00294954" w:rsidP="00787EB4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815EA7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815EA7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815E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443"/>
        <w:gridCol w:w="7879"/>
      </w:tblGrid>
      <w:tr w:rsidR="0092664B" w:rsidRPr="00C0170C" w:rsidTr="00C0170C">
        <w:tc>
          <w:tcPr>
            <w:tcW w:w="1443" w:type="dxa"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879" w:type="dxa"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0966E5" w:rsidRPr="00C0170C" w:rsidTr="00D040A3">
        <w:trPr>
          <w:trHeight w:val="43"/>
        </w:trPr>
        <w:tc>
          <w:tcPr>
            <w:tcW w:w="1443" w:type="dxa"/>
            <w:vMerge w:val="restart"/>
            <w:vAlign w:val="center"/>
          </w:tcPr>
          <w:p w:rsidR="000966E5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  <w:p w:rsidR="000966E5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7879" w:type="dxa"/>
            <w:vAlign w:val="center"/>
          </w:tcPr>
          <w:p w:rsidR="000966E5" w:rsidRDefault="000966E5" w:rsidP="00787EB4">
            <w:pPr>
              <w:widowControl w:val="0"/>
              <w:ind w:firstLine="0"/>
              <w:rPr>
                <w:rFonts w:ascii="Times New Roman" w:hAnsi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методы научно-исследовательской деятельности;</w:t>
            </w:r>
          </w:p>
          <w:p w:rsidR="000966E5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0966E5" w:rsidRPr="00C0170C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C0170C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C0170C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0966E5" w:rsidRPr="00C0170C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C0170C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C0170C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 w:val="restart"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92664B" w:rsidRPr="00C0170C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 w:val="restart"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 w:val="restart"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 w:val="restart"/>
          </w:tcPr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92664B" w:rsidRPr="00C0170C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</w:t>
            </w:r>
            <w:bookmarkStart w:id="2" w:name="_GoBack"/>
            <w:bookmarkEnd w:id="2"/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принципов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 w:val="restart"/>
          </w:tcPr>
          <w:p w:rsidR="0092664B" w:rsidRPr="00C0170C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  <w:p w:rsidR="000966E5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lastRenderedPageBreak/>
              <w:t>на уровне знаний: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92664B" w:rsidRPr="00C0170C" w:rsidTr="00C0170C">
        <w:trPr>
          <w:trHeight w:val="43"/>
        </w:trPr>
        <w:tc>
          <w:tcPr>
            <w:tcW w:w="1443" w:type="dxa"/>
            <w:vMerge/>
          </w:tcPr>
          <w:p w:rsidR="0092664B" w:rsidRPr="00C0170C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C0170C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BD438A" w:rsidRPr="00815EA7" w:rsidRDefault="00BD438A" w:rsidP="00787EB4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815EA7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_Toc308030186"/>
      <w:bookmarkStart w:id="4" w:name="_Toc299967374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дисциплины в структуре ОП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bookmarkEnd w:id="3"/>
    <w:bookmarkEnd w:id="4"/>
    <w:p w:rsidR="00757CAD" w:rsidRPr="00815EA7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Pr="00815EA7" w:rsidRDefault="00F15464" w:rsidP="00787EB4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815EA7" w:rsidTr="00D040A3">
        <w:trPr>
          <w:trHeight w:val="3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815EA7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Трудоемкость (в </w:t>
            </w:r>
            <w:proofErr w:type="spellStart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акад</w:t>
            </w:r>
            <w:proofErr w:type="gramStart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.ч</w:t>
            </w:r>
            <w:proofErr w:type="gramEnd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асах</w:t>
            </w:r>
            <w:proofErr w:type="spellEnd"/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)</w:t>
            </w:r>
            <w:r w:rsidR="00C0170C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987CD8"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Форма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5464" w:rsidRPr="00815EA7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815EA7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815E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815EA7" w:rsidRDefault="009D6BCC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815EA7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B4212" w:rsidRPr="00815EA7" w:rsidRDefault="00332B23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308030187"/>
      <w:bookmarkStart w:id="6" w:name="_Toc299967376"/>
      <w:r w:rsidRPr="00815EA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15E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73944" w:rsidRPr="00815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73944" w:rsidRPr="00815EA7">
        <w:rPr>
          <w:rFonts w:ascii="Times New Roman" w:hAnsi="Times New Roman" w:cs="Times New Roman"/>
          <w:sz w:val="24"/>
          <w:szCs w:val="24"/>
        </w:rPr>
        <w:t>.В.ДВ.</w:t>
      </w:r>
      <w:r w:rsidR="00D040A3">
        <w:rPr>
          <w:rFonts w:ascii="Times New Roman" w:hAnsi="Times New Roman" w:cs="Times New Roman"/>
          <w:sz w:val="24"/>
          <w:szCs w:val="24"/>
        </w:rPr>
        <w:t>2</w:t>
      </w:r>
      <w:r w:rsidR="00173944" w:rsidRPr="00815EA7">
        <w:rPr>
          <w:rFonts w:ascii="Times New Roman" w:hAnsi="Times New Roman" w:cs="Times New Roman"/>
          <w:sz w:val="24"/>
          <w:szCs w:val="24"/>
        </w:rPr>
        <w:t>.</w:t>
      </w:r>
      <w:r w:rsidR="00D040A3">
        <w:rPr>
          <w:rFonts w:ascii="Times New Roman" w:hAnsi="Times New Roman" w:cs="Times New Roman"/>
          <w:sz w:val="24"/>
          <w:szCs w:val="24"/>
        </w:rPr>
        <w:t>2</w:t>
      </w:r>
      <w:r w:rsidR="00173944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sz w:val="24"/>
          <w:szCs w:val="24"/>
        </w:rPr>
        <w:t>«</w:t>
      </w:r>
      <w:r w:rsidR="000F5ECD" w:rsidRPr="00815EA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Pr="00815EA7">
        <w:rPr>
          <w:rFonts w:ascii="Times New Roman" w:hAnsi="Times New Roman" w:cs="Times New Roman"/>
          <w:sz w:val="24"/>
          <w:szCs w:val="24"/>
        </w:rPr>
        <w:t>»</w:t>
      </w:r>
      <w:r w:rsidR="00334D84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815EA7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815EA7">
        <w:rPr>
          <w:rFonts w:ascii="Times New Roman" w:hAnsi="Times New Roman" w:cs="Times New Roman"/>
          <w:sz w:val="24"/>
          <w:szCs w:val="24"/>
        </w:rPr>
        <w:t xml:space="preserve">, в </w:t>
      </w:r>
      <w:r w:rsidR="00173944" w:rsidRPr="00815EA7">
        <w:rPr>
          <w:rFonts w:ascii="Times New Roman" w:hAnsi="Times New Roman" w:cs="Times New Roman"/>
          <w:sz w:val="24"/>
          <w:szCs w:val="24"/>
        </w:rPr>
        <w:t>вариативную часть учебного плана (дисциплины по выбору)</w:t>
      </w:r>
      <w:r w:rsidR="00364039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8F2398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Юриспруденция</w:t>
      </w:r>
      <w:r w:rsidR="00AA3E78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 подготовка кадров высшей квалификации</w:t>
      </w:r>
      <w:r w:rsidR="000F5ECD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944"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«Конституционное право; конституционный судебный процесс; муниципальное право»</w:t>
      </w:r>
      <w:r w:rsidR="000F5ECD" w:rsidRPr="00815EA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при изучении данной дисциплины </w:t>
      </w:r>
      <w:proofErr w:type="gramStart"/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опираться на знания и умения</w:t>
      </w:r>
      <w:r w:rsidR="00DB4212" w:rsidRPr="0081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81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</w:t>
      </w:r>
      <w:r w:rsidR="00364039" w:rsidRPr="00815E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040A3" w:rsidRPr="00D040A3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="00364039" w:rsidRPr="00815EA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B4212"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4D84" w:rsidRPr="00815EA7" w:rsidRDefault="00334D84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15EA7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815EA7" w:rsidRDefault="00241A11" w:rsidP="00787EB4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992"/>
        <w:gridCol w:w="611"/>
        <w:gridCol w:w="959"/>
        <w:gridCol w:w="959"/>
        <w:gridCol w:w="565"/>
        <w:gridCol w:w="1017"/>
        <w:gridCol w:w="1202"/>
      </w:tblGrid>
      <w:tr w:rsidR="00241A11" w:rsidRPr="00815EA7" w:rsidTr="00D040A3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№ </w:t>
            </w:r>
            <w:proofErr w:type="gramStart"/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п</w:t>
            </w:r>
            <w:proofErr w:type="gramEnd"/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/п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ED7150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2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 xml:space="preserve">текущего 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</w:r>
            <w:r w:rsidR="00C0170C">
              <w:rPr>
                <w:rFonts w:ascii="Times New Roman" w:hAnsi="Times New Roman" w:cs="Times New Roman"/>
                <w:b/>
                <w:spacing w:val="-20"/>
                <w:szCs w:val="22"/>
              </w:rPr>
              <w:t>контроля успеваемости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, промежуточной аттестации </w:t>
            </w:r>
          </w:p>
        </w:tc>
      </w:tr>
      <w:tr w:rsidR="00241A11" w:rsidRPr="00815EA7" w:rsidTr="00D040A3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Контактная работа обучающихся с преподавателем</w:t>
            </w:r>
            <w:r w:rsidR="00D040A3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по видам учебных занятий</w:t>
            </w:r>
          </w:p>
        </w:tc>
        <w:tc>
          <w:tcPr>
            <w:tcW w:w="101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СР</w:t>
            </w:r>
          </w:p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2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0B0D9B" w:rsidRPr="00815EA7" w:rsidTr="00D040A3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Cs w:val="22"/>
              </w:rPr>
              <w:t>КСР</w:t>
            </w:r>
          </w:p>
        </w:tc>
        <w:tc>
          <w:tcPr>
            <w:tcW w:w="10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815EA7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1D6A17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</w:t>
            </w:r>
            <w:r w:rsidR="001D6A17" w:rsidRPr="00815EA7"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 w:rsidRPr="00815EA7">
              <w:rPr>
                <w:rFonts w:ascii="Times New Roman" w:hAnsi="Times New Roman" w:cs="Times New Roman"/>
                <w:spacing w:val="-20"/>
                <w:szCs w:val="22"/>
                <w:lang w:eastAsia="ru-RU"/>
              </w:rPr>
              <w:t>УО</w:t>
            </w:r>
          </w:p>
        </w:tc>
      </w:tr>
      <w:tr w:rsidR="001D6A17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</w:t>
            </w: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Конституционно-</w:t>
            </w: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правовой статус органов прокуратуры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815EA7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815EA7" w:rsidTr="00D040A3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815EA7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815EA7" w:rsidTr="00D040A3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815EA7" w:rsidRDefault="00EC046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815EA7" w:rsidRDefault="00DE5C4F" w:rsidP="00787EB4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815EA7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158"/>
        <w:gridCol w:w="1061"/>
      </w:tblGrid>
      <w:tr w:rsidR="00333EC4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815EA7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815EA7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815EA7" w:rsidRDefault="00884662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815EA7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333EC4" w:rsidRPr="00815EA7" w:rsidTr="0035368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AA3E78" w:rsidRPr="00815EA7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815EA7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AA3E78" w:rsidRPr="00815E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815EA7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91429C" w:rsidRPr="00815EA7" w:rsidRDefault="0091429C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815EA7" w:rsidRDefault="0014158B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F10BBC" w:rsidRPr="00815EA7" w:rsidRDefault="00F10BBC" w:rsidP="00787EB4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815EA7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815EA7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815EA7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815EA7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AE35E5" w:rsidRPr="00815EA7" w:rsidRDefault="00AE35E5" w:rsidP="00787EB4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815EA7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815EA7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815EA7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815EA7" w:rsidRDefault="00AE35E5" w:rsidP="00787EB4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815EA7" w:rsidRDefault="00026963" w:rsidP="00787EB4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F40864" w:rsidRDefault="00192FAA" w:rsidP="00787EB4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64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F40864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F40864">
        <w:rPr>
          <w:rFonts w:ascii="Times New Roman" w:hAnsi="Times New Roman" w:cs="Times New Roman"/>
          <w:b/>
          <w:sz w:val="24"/>
          <w:szCs w:val="24"/>
        </w:rPr>
        <w:t>омежуточной аттестации по дисциплине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3DD"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4.1.</w:t>
      </w:r>
      <w:r w:rsidR="00EA316D" w:rsidRPr="00815EA7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815EA7">
        <w:rPr>
          <w:rFonts w:ascii="Times New Roman" w:hAnsi="Times New Roman" w:cs="Times New Roman"/>
          <w:sz w:val="24"/>
          <w:szCs w:val="24"/>
        </w:rPr>
        <w:t>«</w:t>
      </w:r>
      <w:r w:rsidR="0044491F" w:rsidRPr="00815EA7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815EA7">
        <w:rPr>
          <w:rFonts w:ascii="Times New Roman" w:hAnsi="Times New Roman" w:cs="Times New Roman"/>
          <w:sz w:val="24"/>
          <w:szCs w:val="24"/>
        </w:rPr>
        <w:t xml:space="preserve">» </w:t>
      </w:r>
      <w:r w:rsidRPr="00815EA7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следующие методы текущего контроля успеваемости </w:t>
      </w:r>
      <w:proofErr w:type="gramStart"/>
      <w:r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91D37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815EA7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91D37" w:rsidRPr="00815EA7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815EA7">
        <w:rPr>
          <w:rFonts w:ascii="Times New Roman" w:hAnsi="Times New Roman" w:cs="Times New Roman"/>
          <w:sz w:val="24"/>
          <w:szCs w:val="24"/>
        </w:rPr>
        <w:t>у</w:t>
      </w:r>
      <w:r w:rsidR="00E41930" w:rsidRPr="00815EA7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softHyphen/>
      </w:r>
      <w:r w:rsidR="00240297" w:rsidRPr="00815EA7">
        <w:rPr>
          <w:rFonts w:ascii="Times New Roman" w:hAnsi="Times New Roman" w:cs="Times New Roman"/>
          <w:sz w:val="24"/>
          <w:szCs w:val="24"/>
        </w:rPr>
        <w:t xml:space="preserve">- при контроле самостоятельной работы </w:t>
      </w:r>
      <w:proofErr w:type="gramStart"/>
      <w:r w:rsidR="00240297" w:rsidRPr="00815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0297" w:rsidRPr="00815EA7">
        <w:rPr>
          <w:rFonts w:ascii="Times New Roman" w:hAnsi="Times New Roman" w:cs="Times New Roman"/>
          <w:sz w:val="24"/>
          <w:szCs w:val="24"/>
        </w:rPr>
        <w:t>:</w:t>
      </w:r>
    </w:p>
    <w:p w:rsidR="006A0075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815EA7">
        <w:rPr>
          <w:rFonts w:ascii="Times New Roman" w:hAnsi="Times New Roman" w:cs="Times New Roman"/>
          <w:sz w:val="24"/>
          <w:szCs w:val="24"/>
        </w:rPr>
        <w:t>Зачет</w:t>
      </w:r>
      <w:r w:rsidR="006A0075" w:rsidRPr="00815EA7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815EA7" w:rsidRDefault="006A0075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815EA7">
        <w:rPr>
          <w:rFonts w:ascii="Times New Roman" w:hAnsi="Times New Roman" w:cs="Times New Roman"/>
          <w:sz w:val="24"/>
          <w:szCs w:val="24"/>
        </w:rPr>
        <w:t>.</w:t>
      </w:r>
    </w:p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815EA7" w:rsidRDefault="00735C52" w:rsidP="00787EB4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15EA7">
        <w:rPr>
          <w:rFonts w:ascii="Times New Roman" w:hAnsi="Times New Roman" w:cs="Times New Roman"/>
          <w:b/>
        </w:rPr>
        <w:t>Типовые оценочные материалы по темам</w:t>
      </w:r>
    </w:p>
    <w:p w:rsidR="00AF5858" w:rsidRPr="00815EA7" w:rsidRDefault="00AF5858" w:rsidP="00787EB4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F5858" w:rsidRPr="00815EA7" w:rsidRDefault="00913205" w:rsidP="00787EB4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прокуратуры.</w:t>
      </w:r>
    </w:p>
    <w:p w:rsidR="00B67B81" w:rsidRPr="00815EA7" w:rsidRDefault="00B67B81" w:rsidP="00787EB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44491F" w:rsidRPr="00815EA7" w:rsidRDefault="0044491F" w:rsidP="00787EB4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Государственные органы с особым статусом, закрепленные в Конституции Российской Федерации. 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2. Центральная избирательная комиссия Российской Федерации: полномочия и порядок формирования.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Уполномоченный по правам человека в Российской Федерации: полномочия и порядок формирования.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  <w:proofErr w:type="gramEnd"/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5. Конституционные основы функционирования Счетной палаты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6. 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7. Правовое регулирование деятельности Счетной палаты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8. Правовое регулирование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815EA7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9. Конституционные основы деятельности прокуратуры в Российской Федерации.</w:t>
      </w:r>
    </w:p>
    <w:p w:rsidR="00B67B81" w:rsidRPr="00815EA7" w:rsidRDefault="00012A48" w:rsidP="00787EB4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10. Полномочия, задачи и порядок формирования органов прокуратуры</w:t>
      </w:r>
    </w:p>
    <w:p w:rsidR="00054937" w:rsidRPr="00815EA7" w:rsidRDefault="00054937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3"/>
        <w:gridCol w:w="3549"/>
      </w:tblGrid>
      <w:tr w:rsidR="00E85D25" w:rsidRPr="00815EA7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Оценочные средства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Показатели</w:t>
            </w:r>
          </w:p>
          <w:p w:rsidR="00E85D25" w:rsidRPr="00815EA7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Критерии</w:t>
            </w:r>
          </w:p>
          <w:p w:rsidR="00E85D25" w:rsidRPr="00815EA7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оценки</w:t>
            </w:r>
          </w:p>
        </w:tc>
      </w:tr>
      <w:tr w:rsidR="00E85D25" w:rsidRPr="00815EA7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Устный опрос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1.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полнота и глубина ответа;</w:t>
            </w:r>
          </w:p>
          <w:p w:rsidR="00E85D25" w:rsidRPr="00815EA7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2.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815EA7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3.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815EA7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lastRenderedPageBreak/>
              <w:t>4.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использование дополнительного материала;</w:t>
            </w:r>
          </w:p>
          <w:p w:rsidR="00E85D25" w:rsidRPr="00815EA7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5.</w:t>
            </w:r>
            <w:r w:rsidRPr="00815EA7">
              <w:rPr>
                <w:rFonts w:ascii="Times New Roman" w:hAnsi="Times New Roman" w:cs="Times New Roman"/>
                <w:spacing w:val="-20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lastRenderedPageBreak/>
              <w:t>Сложный вопрос:</w:t>
            </w:r>
            <w:r w:rsidRPr="00815EA7">
              <w:rPr>
                <w:rFonts w:ascii="Times New Roman" w:hAnsi="Times New Roman" w:cs="Times New Roman"/>
                <w:spacing w:val="-20"/>
              </w:rPr>
              <w:t xml:space="preserve"> полный, развернутый, обоснованный ответ – 10 баллов.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Правильный, но не аргументированный ответ – 5 баллов.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Обычный вопрос: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полный, развернутый, обоснованный ответ – 4 балла.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 xml:space="preserve">Правильный, но не </w:t>
            </w:r>
            <w:r w:rsidRPr="00815EA7">
              <w:rPr>
                <w:rFonts w:ascii="Times New Roman" w:hAnsi="Times New Roman" w:cs="Times New Roman"/>
                <w:spacing w:val="-20"/>
              </w:rPr>
              <w:lastRenderedPageBreak/>
              <w:t>аргументированный ответ – 2 балла.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Неверный ответ – 0 баллов.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</w:rPr>
            </w:pPr>
            <w:r w:rsidRPr="00815EA7">
              <w:rPr>
                <w:rFonts w:ascii="Times New Roman" w:hAnsi="Times New Roman" w:cs="Times New Roman"/>
                <w:b/>
                <w:spacing w:val="-20"/>
              </w:rPr>
              <w:t>Простой вопрос: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Правильный ответ – 1 балл.</w:t>
            </w:r>
          </w:p>
          <w:p w:rsidR="00E85D25" w:rsidRPr="00815EA7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5EA7">
              <w:rPr>
                <w:rFonts w:ascii="Times New Roman" w:hAnsi="Times New Roman" w:cs="Times New Roman"/>
                <w:spacing w:val="-20"/>
              </w:rPr>
              <w:t>Неправильный ответ – 0 баллов.</w:t>
            </w:r>
          </w:p>
        </w:tc>
      </w:tr>
    </w:tbl>
    <w:p w:rsidR="00F10BBC" w:rsidRPr="00815EA7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815EA7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ED75C0" w:rsidTr="00ED75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D75C0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75C0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Default="00ED75C0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ED75C0" w:rsidRDefault="00ED75C0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35368E" w:rsidRPr="00815EA7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ED75C0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D75C0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>
              <w:rPr>
                <w:rFonts w:ascii="Times New Roman" w:hAnsi="Times New Roman"/>
                <w:spacing w:val="-20"/>
              </w:rPr>
              <w:t>;</w:t>
            </w:r>
          </w:p>
          <w:p w:rsidR="00ED75C0" w:rsidRDefault="00ED75C0" w:rsidP="00787EB4">
            <w:pPr>
              <w:widowControl w:val="0"/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pStyle w:val="a3"/>
              <w:widowControl w:val="0"/>
              <w:ind w:hanging="10"/>
              <w:rPr>
                <w:spacing w:val="-20"/>
                <w:sz w:val="23"/>
                <w:szCs w:val="23"/>
                <w:lang w:eastAsia="ru-RU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ED75C0" w:rsidRDefault="00ED75C0" w:rsidP="00787EB4">
            <w:pPr>
              <w:pStyle w:val="a3"/>
              <w:widowControl w:val="0"/>
              <w:ind w:hanging="10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ED75C0" w:rsidTr="00ED75C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>
              <w:rPr>
                <w:rFonts w:ascii="Times New Roman" w:hAnsi="Times New Roman"/>
                <w:spacing w:val="-20"/>
              </w:rPr>
              <w:t xml:space="preserve">;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D75C0" w:rsidRDefault="00ED75C0" w:rsidP="00787EB4">
            <w:pPr>
              <w:widowControl w:val="0"/>
              <w:spacing w:after="160"/>
              <w:rPr>
                <w:rFonts w:ascii="Times New Roman" w:eastAsia="Calibri" w:hAnsi="Times New Roman"/>
                <w:spacing w:val="-20"/>
                <w:szCs w:val="22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квалифицированного применения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ED75C0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35368E" w:rsidRPr="00815EA7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815EA7" w:rsidRDefault="00A00F7B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815EA7" w:rsidRDefault="0044491F" w:rsidP="00787EB4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государственных органов с особым статусом.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Центральная избирательная комиссия Российской Федерации: общая характеристика.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Российской Федерации: общая характеристика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Центральной избирательной комиссии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Центральной избирательная комиссия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Центральной избирательной комиссии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функционирования Центральной избирательной комиссии Российской 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Уполномоченного по правам человека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Уполномоченного по правам человека в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Уполномоченного по правам человека в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Уполномоченного по правам человека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Счетная палата РФ: общая характеристика.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Центральный банк РФ: общая характеристика.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Счетной палаты РФ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Счетной палаты РФ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Счетной палаты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функционирования Счетной палаты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Правовые основы функционирования счетных палат в субъектах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Центральный банк РФ: общая характеристика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основа деятельности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r w:rsidRPr="00815EA7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Подотчетность Центрального банка РФ.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прокуратуры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Правовая основа деятельности органов прокуратуры в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Полномочия органов прокуратуры в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Порядок формирования органов прокуратуры в Российской Федерации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Принципы организации и деятельности органов прокуратуры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Подотчетность органов прокуратуры в Российской Федерации.</w:t>
      </w:r>
    </w:p>
    <w:p w:rsidR="0044491F" w:rsidRPr="00815EA7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815EA7" w:rsidRDefault="00757FF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Default="00F40864" w:rsidP="00787EB4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>
        <w:rPr>
          <w:rFonts w:ascii="Times New Roman" w:hAnsi="Times New Roman"/>
          <w:sz w:val="24"/>
          <w:szCs w:val="24"/>
        </w:rPr>
        <w:t>максимальному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</w:r>
      <w:r>
        <w:rPr>
          <w:rFonts w:ascii="Times New Roman" w:hAnsi="Times New Roman"/>
          <w:sz w:val="24"/>
          <w:szCs w:val="24"/>
        </w:rPr>
        <w:lastRenderedPageBreak/>
        <w:t>некоторые из выполненных заданий, возможно, содержат ошибки.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F40864" w:rsidRDefault="00F40864" w:rsidP="00787EB4">
      <w:pPr>
        <w:widowControl w:val="0"/>
        <w:ind w:firstLine="567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F40864" w:rsidRDefault="00F40864" w:rsidP="00787EB4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F40864" w:rsidRDefault="00F40864" w:rsidP="00787EB4">
      <w:pPr>
        <w:widowControl w:val="0"/>
        <w:ind w:firstLine="567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F40864" w:rsidTr="00F408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64" w:rsidRDefault="00F40864" w:rsidP="00787EB4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64" w:rsidRDefault="00F40864" w:rsidP="00787EB4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  <w:tr w:rsidR="00F40864" w:rsidTr="00F4086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64" w:rsidRDefault="00F40864" w:rsidP="00787EB4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64" w:rsidRDefault="00F40864" w:rsidP="00787EB4">
            <w:pPr>
              <w:widowControl w:val="0"/>
              <w:overflowPunct w:val="0"/>
              <w:autoSpaceDE w:val="0"/>
              <w:autoSpaceDN w:val="0"/>
              <w:spacing w:before="40"/>
              <w:ind w:firstLine="39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</w:tbl>
    <w:p w:rsidR="0035368E" w:rsidRPr="00815EA7" w:rsidRDefault="0035368E" w:rsidP="00787EB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35368E" w:rsidRPr="00815EA7" w:rsidRDefault="0035368E" w:rsidP="00787EB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815EA7" w:rsidRDefault="0035368E" w:rsidP="00787EB4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815EA7" w:rsidRDefault="0069597F" w:rsidP="00787EB4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815EA7" w:rsidRDefault="00F10BBC" w:rsidP="00787EB4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815E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15EA7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</w:t>
      </w:r>
    </w:p>
    <w:p w:rsidR="00207EC6" w:rsidRPr="00815EA7" w:rsidRDefault="00207EC6" w:rsidP="00787EB4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815EA7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815EA7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</w:t>
      </w:r>
      <w:proofErr w:type="gramEnd"/>
      <w:r w:rsidRPr="00815EA7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основы развития конституционализма в условиях современной правовой действительности.</w:t>
      </w:r>
    </w:p>
    <w:p w:rsidR="001A7E6A" w:rsidRPr="00815EA7" w:rsidRDefault="001A7E6A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устному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опросу студенту следует обратить внимание на основные термины и понятия, а также контрольные вопросы.</w:t>
      </w:r>
    </w:p>
    <w:p w:rsidR="00FC5EA5" w:rsidRPr="00815EA7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</w:t>
      </w:r>
      <w:r w:rsidRPr="00815E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актов.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FC5EA5" w:rsidRPr="00815EA7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вынесена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815EA7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815EA7" w:rsidRDefault="00752DDD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815EA7" w:rsidRDefault="00F10BBC" w:rsidP="00787EB4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A7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991D37" w:rsidRPr="00815EA7" w:rsidRDefault="00991D37" w:rsidP="00787EB4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991D37" w:rsidRPr="00815EA7" w:rsidRDefault="00991D37" w:rsidP="00787EB4">
      <w:pPr>
        <w:widowControl w:val="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Зерцало-М, 2012. - 144 c. </w:t>
      </w:r>
    </w:p>
    <w:p w:rsidR="00991D37" w:rsidRPr="00815EA7" w:rsidRDefault="00991D37" w:rsidP="00787EB4">
      <w:pPr>
        <w:widowControl w:val="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 России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студентов вузов, обучающихся по специальности 030501 "Юриспруденция" / [Б. 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 др.] ; под ред. Б. 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А. С. Прудникова. - 5-е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и доп. - М. : ЮНИТИ, 2012. - 671 c.</w:t>
      </w:r>
    </w:p>
    <w:p w:rsidR="00991D37" w:rsidRPr="00815EA7" w:rsidRDefault="00991D37" w:rsidP="00787EB4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). Т. 2 . - 778 c.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И. М. Прокуратура и Уполномоченный по правам человека в РФ / И. М.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Байкин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// Конституционное и муниципальное право. - 2011. - N. 11. - С. 63-66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3. Брежнев О. В. Уполномоченный по правам человека как участник конституционного судопроизводства: проблемы, тенденции, перспективы/ О. В. Брежнев // Право и политика. - 2012. - N. 12. - С. 1995-2002 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4. Бурмистров А. С. Уполномоченный по правам человека в Российской Федерации: место в системе разделения властей и системе общественного контроля / А. С. Бурмистров // "Черные дыры" в Российском Законодательстве. - 2012. - N. 5. - С. 5-8 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, Сурен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Адибекович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Авакьян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фак. - 3-е изд., стер. - М.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, 2010. - (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institutiones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). Т. 1 . - 719 c.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>6. Козлова, Екатерина Ивановна. Конституционное право России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Е. И. Козлова, О. Е.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Кутафин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; М-во образования и науки</w:t>
      </w:r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 им. О. Е.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815EA7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15EA7">
        <w:rPr>
          <w:rFonts w:ascii="Times New Roman" w:hAnsi="Times New Roman" w:cs="Times New Roman"/>
          <w:sz w:val="24"/>
          <w:szCs w:val="24"/>
          <w:lang w:eastAsia="ru-RU"/>
        </w:rPr>
        <w:t>. и доп. - М. : Проспект, 2010. - 603 c.</w:t>
      </w:r>
    </w:p>
    <w:p w:rsidR="00C0170C" w:rsidRDefault="00991D37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C0170C">
        <w:rPr>
          <w:rFonts w:ascii="Times New Roman" w:hAnsi="Times New Roman" w:cs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="00C0170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0170C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="00C0170C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C0170C">
        <w:rPr>
          <w:rFonts w:ascii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="00C0170C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C0170C">
        <w:rPr>
          <w:rFonts w:ascii="Times New Roman" w:hAnsi="Times New Roman" w:cs="Times New Roman"/>
          <w:sz w:val="24"/>
          <w:szCs w:val="24"/>
          <w:lang w:eastAsia="ru-RU"/>
        </w:rPr>
        <w:t xml:space="preserve">, 2011. - 559 c. </w:t>
      </w:r>
    </w:p>
    <w:p w:rsidR="00C0170C" w:rsidRDefault="00C0170C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Конституционное право Российской Федерации : учебник / [Е.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Адзинова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Хапсирокова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и др.] ; под общ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ед. Н.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Витрука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- 655 c.</w:t>
      </w:r>
    </w:p>
    <w:p w:rsidR="00C0170C" w:rsidRDefault="00C0170C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 / М.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Баглай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- 9-е изд., изм. и доп. -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 [и др.], 2011. - 767 c. 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991D37" w:rsidRPr="00C0170C" w:rsidTr="00991D3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991D37" w:rsidRPr="00C0170C" w:rsidRDefault="00991D37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991D37" w:rsidRPr="00C0170C" w:rsidRDefault="00991D37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991D37" w:rsidRPr="00C0170C" w:rsidRDefault="00991D37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991D37" w:rsidRPr="00C0170C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, 2011. - 559 c. </w:t>
            </w:r>
          </w:p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Адзинова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991D37" w:rsidRPr="00C0170C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фак. - М.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991D37" w:rsidRPr="00C0170C" w:rsidTr="00991D3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C017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C0170C" w:rsidRDefault="00991D3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37" w:rsidRPr="00C0170C" w:rsidRDefault="00991D37" w:rsidP="00787EB4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70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D37" w:rsidRPr="00815EA7" w:rsidRDefault="00991D37" w:rsidP="00787EB4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5EA7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815EA7">
          <w:rPr>
            <w:rFonts w:ascii="Times New Roman" w:hAnsi="Times New Roman" w:cs="Times New Roman"/>
          </w:rPr>
          <w:t>1993 г</w:t>
        </w:r>
      </w:smartTag>
      <w:r w:rsidRPr="00815EA7">
        <w:rPr>
          <w:rFonts w:ascii="Times New Roman" w:hAnsi="Times New Roman" w:cs="Times New Roman"/>
        </w:rPr>
        <w:t>. (в действующей редакции).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815EA7">
          <w:rPr>
            <w:rFonts w:ascii="Times New Roman" w:hAnsi="Times New Roman" w:cs="Times New Roman"/>
          </w:rPr>
          <w:t>1994 г</w:t>
        </w:r>
      </w:smartTag>
      <w:r w:rsidRPr="00815EA7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815EA7">
          <w:rPr>
            <w:rFonts w:ascii="Times New Roman" w:hAnsi="Times New Roman" w:cs="Times New Roman"/>
          </w:rPr>
          <w:t>1996 г</w:t>
        </w:r>
      </w:smartTag>
      <w:r w:rsidRPr="00815EA7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815EA7" w:rsidRPr="00815EA7" w:rsidRDefault="00815EA7" w:rsidP="00787EB4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</w:rPr>
      </w:pPr>
      <w:r w:rsidRPr="00815EA7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15EA7">
          <w:t>2006 г</w:t>
        </w:r>
      </w:smartTag>
      <w:r w:rsidRPr="00815EA7">
        <w:t xml:space="preserve">. № 149-ФЗ «Об информации, информационных технологиях и о защите информации» </w:t>
      </w:r>
      <w:r w:rsidRPr="00815EA7">
        <w:rPr>
          <w:rStyle w:val="af1"/>
          <w:bCs/>
          <w:i w:val="0"/>
          <w:iCs w:val="0"/>
        </w:rPr>
        <w:t>(с изменениями и дополнениями).</w:t>
      </w:r>
    </w:p>
    <w:p w:rsidR="00815EA7" w:rsidRPr="00815EA7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15EA7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815EA7">
          <w:rPr>
            <w:rFonts w:ascii="Times New Roman" w:hAnsi="Times New Roman"/>
            <w:sz w:val="24"/>
            <w:szCs w:val="24"/>
          </w:rPr>
          <w:t>2008 г</w:t>
        </w:r>
      </w:smartTag>
      <w:r w:rsidRPr="00815EA7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15EA7" w:rsidRPr="00815EA7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EA7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15EA7">
          <w:rPr>
            <w:rFonts w:ascii="Times New Roman" w:hAnsi="Times New Roman"/>
            <w:sz w:val="24"/>
            <w:szCs w:val="24"/>
          </w:rPr>
          <w:t>2009 г</w:t>
        </w:r>
      </w:smartTag>
      <w:r w:rsidRPr="00815EA7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15EA7" w:rsidRPr="00815EA7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815EA7">
          <w:rPr>
            <w:szCs w:val="24"/>
          </w:rPr>
          <w:t>1996 г</w:t>
        </w:r>
      </w:smartTag>
      <w:r w:rsidRPr="00815EA7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15EA7" w:rsidRPr="00815EA7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815EA7">
          <w:rPr>
            <w:szCs w:val="24"/>
          </w:rPr>
          <w:t>2000 г</w:t>
        </w:r>
      </w:smartTag>
      <w:r w:rsidRPr="00815EA7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15EA7" w:rsidRPr="00815EA7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15EA7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815EA7">
          <w:rPr>
            <w:szCs w:val="24"/>
          </w:rPr>
          <w:t>1997 г</w:t>
        </w:r>
      </w:smartTag>
      <w:r w:rsidRPr="00815EA7">
        <w:rPr>
          <w:szCs w:val="24"/>
        </w:rPr>
        <w:t xml:space="preserve">. (с изменениями и дополнениями) «Об утверждении </w:t>
      </w:r>
      <w:proofErr w:type="gramStart"/>
      <w:r w:rsidRPr="00815EA7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815EA7">
        <w:rPr>
          <w:szCs w:val="24"/>
        </w:rPr>
        <w:t xml:space="preserve"> и их </w:t>
      </w:r>
      <w:r w:rsidRPr="00815EA7">
        <w:rPr>
          <w:szCs w:val="24"/>
        </w:rPr>
        <w:lastRenderedPageBreak/>
        <w:t>государственной регистрации».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Cs w:val="24"/>
        </w:rPr>
      </w:pPr>
      <w:r w:rsidRPr="00815EA7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815EA7">
          <w:rPr>
            <w:rFonts w:ascii="Times New Roman" w:hAnsi="Times New Roman" w:cs="Times New Roman"/>
          </w:rPr>
          <w:t>2002 г</w:t>
        </w:r>
      </w:smartTag>
      <w:r w:rsidRPr="00815EA7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815EA7">
          <w:rPr>
            <w:rFonts w:ascii="Times New Roman" w:hAnsi="Times New Roman" w:cs="Times New Roman"/>
          </w:rPr>
          <w:t>1998 г</w:t>
        </w:r>
      </w:smartTag>
      <w:r w:rsidRPr="00815EA7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815EA7">
          <w:rPr>
            <w:rFonts w:ascii="Times New Roman" w:hAnsi="Times New Roman" w:cs="Times New Roman"/>
          </w:rPr>
          <w:t>1998 г</w:t>
        </w:r>
      </w:smartTag>
      <w:r w:rsidRPr="00815EA7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815EA7" w:rsidRPr="00815EA7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</w:rPr>
      </w:pPr>
      <w:r w:rsidRPr="00815EA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815EA7">
          <w:rPr>
            <w:rFonts w:ascii="Times New Roman" w:hAnsi="Times New Roman" w:cs="Times New Roman"/>
          </w:rPr>
          <w:t>2011 г</w:t>
        </w:r>
      </w:smartTag>
      <w:r w:rsidRPr="00815EA7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815EA7">
        <w:rPr>
          <w:rFonts w:ascii="Times New Roman" w:hAnsi="Times New Roman" w:cs="Times New Roman"/>
        </w:rPr>
        <w:t>для</w:t>
      </w:r>
      <w:proofErr w:type="gramEnd"/>
      <w:r w:rsidRPr="00815EA7">
        <w:rPr>
          <w:rFonts w:ascii="Times New Roman" w:hAnsi="Times New Roman" w:cs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815EA7">
          <w:rPr>
            <w:rFonts w:ascii="Times New Roman" w:hAnsi="Times New Roman" w:cs="Times New Roman"/>
          </w:rPr>
          <w:t>2011 г</w:t>
        </w:r>
      </w:smartTag>
      <w:r w:rsidRPr="00815EA7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991D37" w:rsidRPr="00815EA7" w:rsidRDefault="00991D37" w:rsidP="00787EB4">
      <w:pPr>
        <w:widowControl w:val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D37" w:rsidRPr="00815EA7" w:rsidRDefault="00991D37" w:rsidP="00787EB4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Айбукс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</w:t>
      </w:r>
      <w:proofErr w:type="spellStart"/>
      <w:r w:rsidRPr="00815EA7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–библиотечной системы (ЭБС) </w:t>
      </w: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Ист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-Вью» 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Рубрикон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815E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815E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991D37" w:rsidRPr="00815EA7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</w:t>
      </w:r>
      <w:proofErr w:type="spellStart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>Publishing</w:t>
      </w:r>
      <w:proofErr w:type="spellEnd"/>
      <w:r w:rsidRPr="0081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- доступ к </w:t>
      </w:r>
      <w:proofErr w:type="spellStart"/>
      <w:r w:rsidRPr="00815EA7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мультидисциплинарным</w:t>
      </w:r>
      <w:proofErr w:type="spellEnd"/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1D37" w:rsidRPr="00815EA7" w:rsidRDefault="00991D37" w:rsidP="00787EB4">
      <w:pPr>
        <w:widowControl w:val="0"/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D37" w:rsidRPr="00815EA7" w:rsidRDefault="00991D37" w:rsidP="00787EB4">
      <w:pPr>
        <w:widowControl w:val="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815EA7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91D37" w:rsidRPr="00815EA7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15EA7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EA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15EA7">
        <w:rPr>
          <w:rFonts w:ascii="Times New Roman" w:hAnsi="Times New Roman" w:cs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991D37" w:rsidRPr="00815EA7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815EA7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91D37" w:rsidRPr="00815EA7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5EA7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815EA7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C0170C">
        <w:rPr>
          <w:rFonts w:ascii="Times New Roman" w:hAnsi="Times New Roman" w:cs="Times New Roman"/>
          <w:sz w:val="24"/>
          <w:szCs w:val="24"/>
        </w:rPr>
        <w:t xml:space="preserve"> 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15EA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815EA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91D37" w:rsidRPr="00815EA7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91D37" w:rsidRPr="00815EA7" w:rsidTr="00C0170C">
        <w:trPr>
          <w:trHeight w:val="41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815EA7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15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815EA7" w:rsidRDefault="001535B9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815EA7" w:rsidSect="005E59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77" w:rsidRDefault="00E27B77" w:rsidP="005E598A">
      <w:r>
        <w:separator/>
      </w:r>
    </w:p>
  </w:endnote>
  <w:endnote w:type="continuationSeparator" w:id="0">
    <w:p w:rsidR="00E27B77" w:rsidRDefault="00E27B77" w:rsidP="005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2583"/>
      <w:docPartObj>
        <w:docPartGallery w:val="Page Numbers (Bottom of Page)"/>
        <w:docPartUnique/>
      </w:docPartObj>
    </w:sdtPr>
    <w:sdtContent>
      <w:p w:rsidR="00D040A3" w:rsidRDefault="00D040A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B4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77" w:rsidRDefault="00E27B77" w:rsidP="005E598A">
      <w:r>
        <w:separator/>
      </w:r>
    </w:p>
  </w:footnote>
  <w:footnote w:type="continuationSeparator" w:id="0">
    <w:p w:rsidR="00E27B77" w:rsidRDefault="00E27B77" w:rsidP="005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2C93"/>
    <w:rsid w:val="00012A48"/>
    <w:rsid w:val="0001480E"/>
    <w:rsid w:val="00026963"/>
    <w:rsid w:val="00027B23"/>
    <w:rsid w:val="00054937"/>
    <w:rsid w:val="000709FE"/>
    <w:rsid w:val="000951D8"/>
    <w:rsid w:val="000966E5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617B"/>
    <w:rsid w:val="001A7E6A"/>
    <w:rsid w:val="001B0F33"/>
    <w:rsid w:val="001B198F"/>
    <w:rsid w:val="001C4880"/>
    <w:rsid w:val="001C7507"/>
    <w:rsid w:val="001D6A17"/>
    <w:rsid w:val="001E4199"/>
    <w:rsid w:val="00207EC6"/>
    <w:rsid w:val="00212883"/>
    <w:rsid w:val="00214A1C"/>
    <w:rsid w:val="00222C15"/>
    <w:rsid w:val="0022511E"/>
    <w:rsid w:val="002329B8"/>
    <w:rsid w:val="00240297"/>
    <w:rsid w:val="00241A11"/>
    <w:rsid w:val="00244A4D"/>
    <w:rsid w:val="002568E2"/>
    <w:rsid w:val="00270D9E"/>
    <w:rsid w:val="00281658"/>
    <w:rsid w:val="00294954"/>
    <w:rsid w:val="002974C1"/>
    <w:rsid w:val="002C73D2"/>
    <w:rsid w:val="002D7B2F"/>
    <w:rsid w:val="002E137B"/>
    <w:rsid w:val="002E7403"/>
    <w:rsid w:val="003162DB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6277"/>
    <w:rsid w:val="00377E87"/>
    <w:rsid w:val="003937FB"/>
    <w:rsid w:val="003A5A7C"/>
    <w:rsid w:val="003B1C80"/>
    <w:rsid w:val="003B5FC7"/>
    <w:rsid w:val="003B6F3A"/>
    <w:rsid w:val="003D5154"/>
    <w:rsid w:val="003E0A5F"/>
    <w:rsid w:val="003E5A7C"/>
    <w:rsid w:val="004100DE"/>
    <w:rsid w:val="0041788C"/>
    <w:rsid w:val="00422B92"/>
    <w:rsid w:val="004243DD"/>
    <w:rsid w:val="00427B86"/>
    <w:rsid w:val="004301F6"/>
    <w:rsid w:val="0044491F"/>
    <w:rsid w:val="00456DAC"/>
    <w:rsid w:val="00457B77"/>
    <w:rsid w:val="00484A2A"/>
    <w:rsid w:val="00485D6A"/>
    <w:rsid w:val="004A377C"/>
    <w:rsid w:val="004A7ACA"/>
    <w:rsid w:val="004C1D24"/>
    <w:rsid w:val="004E05F0"/>
    <w:rsid w:val="004E3093"/>
    <w:rsid w:val="004E7B25"/>
    <w:rsid w:val="00512F94"/>
    <w:rsid w:val="005247C3"/>
    <w:rsid w:val="00527109"/>
    <w:rsid w:val="0053740E"/>
    <w:rsid w:val="00545566"/>
    <w:rsid w:val="005575D8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E598A"/>
    <w:rsid w:val="005F0325"/>
    <w:rsid w:val="005F1C1F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0234"/>
    <w:rsid w:val="006B0C1E"/>
    <w:rsid w:val="006B7F66"/>
    <w:rsid w:val="006E4502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87EB4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5C6A"/>
    <w:rsid w:val="00806D3C"/>
    <w:rsid w:val="00812E73"/>
    <w:rsid w:val="00815EA7"/>
    <w:rsid w:val="008203F4"/>
    <w:rsid w:val="00843893"/>
    <w:rsid w:val="00845C57"/>
    <w:rsid w:val="00850684"/>
    <w:rsid w:val="008656CF"/>
    <w:rsid w:val="008755D5"/>
    <w:rsid w:val="00884662"/>
    <w:rsid w:val="00896545"/>
    <w:rsid w:val="008B3264"/>
    <w:rsid w:val="008D29E3"/>
    <w:rsid w:val="008D3678"/>
    <w:rsid w:val="008F1DE8"/>
    <w:rsid w:val="008F2078"/>
    <w:rsid w:val="008F2398"/>
    <w:rsid w:val="008F30C3"/>
    <w:rsid w:val="008F3452"/>
    <w:rsid w:val="008F6495"/>
    <w:rsid w:val="00912AC4"/>
    <w:rsid w:val="00913205"/>
    <w:rsid w:val="0091429C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1D37"/>
    <w:rsid w:val="00996B8A"/>
    <w:rsid w:val="009A0578"/>
    <w:rsid w:val="009A5061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0352"/>
    <w:rsid w:val="00A56AC6"/>
    <w:rsid w:val="00A71767"/>
    <w:rsid w:val="00A7346B"/>
    <w:rsid w:val="00A87351"/>
    <w:rsid w:val="00A95651"/>
    <w:rsid w:val="00AA3E78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0170C"/>
    <w:rsid w:val="00C412BD"/>
    <w:rsid w:val="00C42530"/>
    <w:rsid w:val="00C5097C"/>
    <w:rsid w:val="00C614C5"/>
    <w:rsid w:val="00C635BF"/>
    <w:rsid w:val="00C63930"/>
    <w:rsid w:val="00CA28DD"/>
    <w:rsid w:val="00CA4B00"/>
    <w:rsid w:val="00CD0DC8"/>
    <w:rsid w:val="00CE4B60"/>
    <w:rsid w:val="00CE5E7C"/>
    <w:rsid w:val="00CF59EB"/>
    <w:rsid w:val="00D040A3"/>
    <w:rsid w:val="00D106E1"/>
    <w:rsid w:val="00D14664"/>
    <w:rsid w:val="00D4224D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27B77"/>
    <w:rsid w:val="00E342DF"/>
    <w:rsid w:val="00E41930"/>
    <w:rsid w:val="00E70027"/>
    <w:rsid w:val="00E72107"/>
    <w:rsid w:val="00E85D25"/>
    <w:rsid w:val="00E929A4"/>
    <w:rsid w:val="00EA316D"/>
    <w:rsid w:val="00EA7E59"/>
    <w:rsid w:val="00EB3DD3"/>
    <w:rsid w:val="00EC0466"/>
    <w:rsid w:val="00EC2CEA"/>
    <w:rsid w:val="00ED7150"/>
    <w:rsid w:val="00ED75C0"/>
    <w:rsid w:val="00EE15D9"/>
    <w:rsid w:val="00EF3066"/>
    <w:rsid w:val="00F05154"/>
    <w:rsid w:val="00F10BBC"/>
    <w:rsid w:val="00F13C5A"/>
    <w:rsid w:val="00F15464"/>
    <w:rsid w:val="00F340DE"/>
    <w:rsid w:val="00F40864"/>
    <w:rsid w:val="00F557BB"/>
    <w:rsid w:val="00F55F2C"/>
    <w:rsid w:val="00F73792"/>
    <w:rsid w:val="00F7577B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paragraph" w:styleId="af">
    <w:name w:val="footer"/>
    <w:basedOn w:val="a"/>
    <w:link w:val="af0"/>
    <w:uiPriority w:val="99"/>
    <w:unhideWhenUsed/>
    <w:rsid w:val="005E5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598A"/>
    <w:rPr>
      <w:rFonts w:ascii="Calibri" w:eastAsia="Times New Roman" w:hAnsi="Calibri" w:cs="Calibri"/>
      <w:szCs w:val="20"/>
    </w:rPr>
  </w:style>
  <w:style w:type="character" w:styleId="af1">
    <w:name w:val="Emphasis"/>
    <w:qFormat/>
    <w:rsid w:val="00815EA7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815E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815EA7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комментар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B84C9-83B9-4A17-8A92-03222FA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63</cp:revision>
  <dcterms:created xsi:type="dcterms:W3CDTF">2017-05-11T15:24:00Z</dcterms:created>
  <dcterms:modified xsi:type="dcterms:W3CDTF">2018-09-15T10:40:00Z</dcterms:modified>
</cp:coreProperties>
</file>