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Протокол от «</w:t>
            </w:r>
            <w:r w:rsidR="00830682">
              <w:rPr>
                <w:rFonts w:cs="Calibri"/>
                <w:kern w:val="3"/>
                <w:sz w:val="22"/>
                <w:szCs w:val="22"/>
              </w:rPr>
              <w:t>28</w:t>
            </w:r>
            <w:r w:rsidRPr="00B14D7D">
              <w:rPr>
                <w:rFonts w:cs="Calibri"/>
                <w:kern w:val="3"/>
                <w:sz w:val="22"/>
                <w:szCs w:val="22"/>
              </w:rPr>
              <w:t>» августа 201</w:t>
            </w:r>
            <w:r w:rsidR="00830682">
              <w:rPr>
                <w:rFonts w:cs="Calibri"/>
                <w:kern w:val="3"/>
                <w:sz w:val="22"/>
                <w:szCs w:val="22"/>
              </w:rPr>
              <w:t>9</w:t>
            </w:r>
            <w:r w:rsidRPr="00B14D7D">
              <w:rPr>
                <w:rFonts w:cs="Calibri"/>
                <w:kern w:val="3"/>
                <w:sz w:val="22"/>
                <w:szCs w:val="22"/>
              </w:rPr>
              <w:t xml:space="preserve"> г.  №</w:t>
            </w:r>
            <w:r w:rsidR="00830682">
              <w:rPr>
                <w:rFonts w:cs="Calibri"/>
                <w:kern w:val="3"/>
                <w:sz w:val="22"/>
                <w:szCs w:val="22"/>
              </w:rPr>
              <w:t>1</w:t>
            </w:r>
            <w:r w:rsidRPr="00B14D7D">
              <w:rPr>
                <w:rFonts w:cs="Calibri"/>
                <w:kern w:val="3"/>
                <w:sz w:val="22"/>
                <w:szCs w:val="22"/>
              </w:rPr>
              <w:t xml:space="preserve">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77683D">
        <w:rPr>
          <w:b/>
          <w:bCs/>
        </w:rPr>
        <w:t>В.0</w:t>
      </w:r>
      <w:r w:rsidR="003E5F5F">
        <w:rPr>
          <w:b/>
          <w:bCs/>
        </w:rPr>
        <w:t>1</w:t>
      </w:r>
      <w:r w:rsidR="0077683D">
        <w:rPr>
          <w:b/>
          <w:bCs/>
        </w:rPr>
        <w:t>(П)</w:t>
      </w:r>
      <w:r w:rsidR="00AF3A08">
        <w:rPr>
          <w:b/>
          <w:bCs/>
        </w:rPr>
        <w:t xml:space="preserve"> </w:t>
      </w:r>
      <w:r w:rsidR="004254A6" w:rsidRPr="00BC60B3">
        <w:rPr>
          <w:b/>
          <w:bCs/>
        </w:rPr>
        <w:t>Практик</w:t>
      </w:r>
      <w:r w:rsidR="004254A6">
        <w:rPr>
          <w:b/>
          <w:bCs/>
        </w:rPr>
        <w:t>а</w:t>
      </w:r>
      <w:r w:rsidR="004254A6" w:rsidRPr="00BC60B3">
        <w:rPr>
          <w:b/>
          <w:bCs/>
        </w:rPr>
        <w:t xml:space="preserve"> по получению профессиональных умений и опыта</w:t>
      </w:r>
      <w:r w:rsidR="004254A6">
        <w:rPr>
          <w:b/>
          <w:bCs/>
        </w:rPr>
        <w:t xml:space="preserve"> профессиональной деятельности (педагогическая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CD52C9" w:rsidRDefault="00DF59A9" w:rsidP="00DF59A9">
      <w:pPr>
        <w:ind w:firstLine="567"/>
        <w:jc w:val="center"/>
      </w:pPr>
      <w:r w:rsidRPr="00D034BE">
        <w:t>Год набора - 201</w:t>
      </w:r>
      <w:r w:rsidR="00CD52C9" w:rsidRPr="00CD52C9">
        <w:t>9</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w:t>
      </w:r>
      <w:r w:rsidR="00830682">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к.э.н., доцент С.М. Кроливецкая</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BC60B3" w:rsidRPr="00BC60B3" w:rsidRDefault="00BC60B3" w:rsidP="00BC60B3">
      <w:r w:rsidRPr="00BC60B3">
        <w:rPr>
          <w:b/>
        </w:rPr>
        <w:t>Форма проведения практики:</w:t>
      </w:r>
      <w:r w:rsidR="00C34FA9">
        <w:rPr>
          <w:b/>
        </w:rPr>
        <w:t xml:space="preserve"> </w:t>
      </w:r>
      <w:r w:rsidR="007462CA">
        <w:t>непрервыная.</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0"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0"/>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Б2.В.01(П)</w:t>
      </w:r>
      <w:r>
        <w:rPr>
          <w:rFonts w:cs="Calibri"/>
          <w:b/>
        </w:rPr>
        <w:t xml:space="preserve"> </w:t>
      </w:r>
      <w:r>
        <w:t xml:space="preserve">«Педагогическая практика» </w:t>
      </w:r>
      <w:r w:rsidRPr="00D73DCC">
        <w:t xml:space="preserve">входит в Блок 2 «Практики» Федерального государственного образовательного стандарта высшего образования по направлению подготовки 39.06.01 Социологические науки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п/п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практики используются следующие методы текущего контроля успеваемости обучающихся:</w:t>
      </w:r>
    </w:p>
    <w:p w:rsidR="00013267" w:rsidRPr="00013267" w:rsidRDefault="00013267" w:rsidP="00013267">
      <w:pPr>
        <w:keepNext/>
        <w:tabs>
          <w:tab w:val="left" w:pos="284"/>
        </w:tabs>
        <w:ind w:firstLine="709"/>
        <w:jc w:val="both"/>
        <w:rPr>
          <w:lang w:eastAsia="en-US"/>
        </w:rPr>
      </w:pPr>
      <w:r w:rsidRPr="00013267">
        <w:rPr>
          <w:lang w:eastAsia="en-US"/>
        </w:rPr>
        <w:t>Согласно разработанному плану прохождения практики руководителю предоставляется отчет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Готовность проводить занятия, учитывать аудиторию, педагогико-психологические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Pr="00D034BE" w:rsidRDefault="007A2BCA" w:rsidP="002E3640">
      <w:pPr>
        <w:ind w:firstLine="567"/>
        <w:rPr>
          <w:b/>
          <w:bCs/>
        </w:rPr>
      </w:pPr>
      <w:r w:rsidRPr="00D034BE">
        <w:rPr>
          <w:b/>
          <w:bCs/>
        </w:rPr>
        <w:t>Шкала оценивания</w:t>
      </w:r>
    </w:p>
    <w:p w:rsidR="002E3640" w:rsidRPr="00D034BE" w:rsidRDefault="002E3640" w:rsidP="002E3640">
      <w:pPr>
        <w:autoSpaceDE w:val="0"/>
        <w:autoSpaceDN w:val="0"/>
        <w:adjustRightInd w:val="0"/>
        <w:jc w:val="right"/>
        <w:rPr>
          <w:b/>
          <w:i/>
          <w:highlight w:val="green"/>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3464"/>
        <w:gridCol w:w="3778"/>
      </w:tblGrid>
      <w:tr w:rsidR="00312313" w:rsidRPr="00D73DCC" w:rsidTr="00312313">
        <w:trPr>
          <w:trHeight w:val="408"/>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jc w:val="both"/>
              <w:rPr>
                <w:rFonts w:eastAsia="SimSun"/>
                <w:b/>
                <w:sz w:val="20"/>
                <w:szCs w:val="20"/>
                <w:lang w:eastAsia="zh-CN"/>
              </w:rPr>
            </w:pPr>
            <w:r w:rsidRPr="00D73DCC">
              <w:rPr>
                <w:b/>
                <w:sz w:val="20"/>
                <w:szCs w:val="20"/>
              </w:rPr>
              <w:t>Этапы (периоды)</w:t>
            </w:r>
          </w:p>
          <w:p w:rsidR="00312313" w:rsidRPr="00D73DCC" w:rsidRDefault="00312313" w:rsidP="00855F97">
            <w:pPr>
              <w:tabs>
                <w:tab w:val="left" w:pos="2804"/>
              </w:tabs>
              <w:jc w:val="both"/>
              <w:rPr>
                <w:rFonts w:eastAsia="SimSun"/>
                <w:b/>
                <w:bCs/>
                <w:iCs/>
                <w:sz w:val="20"/>
                <w:szCs w:val="20"/>
                <w:lang w:eastAsia="zh-CN"/>
              </w:rPr>
            </w:pPr>
            <w:r w:rsidRPr="00D73DCC">
              <w:rPr>
                <w:b/>
                <w:sz w:val="20"/>
                <w:szCs w:val="20"/>
              </w:rPr>
              <w:t>практики (НИР)</w:t>
            </w:r>
          </w:p>
        </w:tc>
        <w:tc>
          <w:tcPr>
            <w:tcW w:w="3464" w:type="dxa"/>
            <w:tcBorders>
              <w:top w:val="single" w:sz="4" w:space="0" w:color="auto"/>
              <w:left w:val="single" w:sz="4" w:space="0" w:color="auto"/>
              <w:bottom w:val="single" w:sz="4" w:space="0" w:color="auto"/>
              <w:right w:val="single" w:sz="4" w:space="0" w:color="auto"/>
            </w:tcBorders>
            <w:hideMark/>
          </w:tcPr>
          <w:p w:rsidR="00312313" w:rsidRPr="00E34E0B" w:rsidRDefault="00312313"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312313" w:rsidRPr="00D73DCC" w:rsidRDefault="00312313" w:rsidP="00855F97">
            <w:pPr>
              <w:tabs>
                <w:tab w:val="left" w:pos="2804"/>
              </w:tabs>
              <w:jc w:val="both"/>
              <w:rPr>
                <w:rFonts w:eastAsia="SimSun"/>
                <w:b/>
                <w:bCs/>
                <w:iCs/>
                <w:sz w:val="20"/>
                <w:szCs w:val="20"/>
                <w:lang w:eastAsia="zh-CN"/>
              </w:rPr>
            </w:pPr>
            <w:r w:rsidRPr="00D73DCC">
              <w:rPr>
                <w:b/>
                <w:sz w:val="20"/>
                <w:szCs w:val="20"/>
              </w:rPr>
              <w:t>оценки</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
                <w:bCs/>
                <w:iCs/>
                <w:sz w:val="20"/>
                <w:szCs w:val="20"/>
                <w:lang w:eastAsia="zh-CN"/>
              </w:rPr>
            </w:pPr>
            <w:r w:rsidRPr="00D73DCC">
              <w:rPr>
                <w:b/>
                <w:sz w:val="20"/>
                <w:szCs w:val="20"/>
              </w:rPr>
              <w:t>Критерии оценки</w:t>
            </w:r>
          </w:p>
        </w:tc>
      </w:tr>
      <w:tr w:rsidR="00312313" w:rsidRPr="00D73DCC" w:rsidTr="00312313">
        <w:trPr>
          <w:trHeight w:val="2628"/>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464"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312313" w:rsidRPr="00D73DCC" w:rsidRDefault="00312313" w:rsidP="00855F97">
            <w:pPr>
              <w:jc w:val="both"/>
              <w:rPr>
                <w:bCs/>
                <w:sz w:val="20"/>
                <w:szCs w:val="20"/>
              </w:rPr>
            </w:pPr>
            <w:r w:rsidRPr="00D73DCC">
              <w:rPr>
                <w:bCs/>
                <w:sz w:val="20"/>
                <w:szCs w:val="20"/>
              </w:rPr>
              <w:t>Знание интерактивных, групповых, ролевых форм работы с обучающимися.</w:t>
            </w:r>
          </w:p>
          <w:p w:rsidR="00312313" w:rsidRPr="00D73DCC" w:rsidRDefault="00312313"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312313" w:rsidRPr="00D73DCC" w:rsidRDefault="00312313" w:rsidP="00855F97">
            <w:pPr>
              <w:jc w:val="both"/>
              <w:rPr>
                <w:bCs/>
                <w:sz w:val="20"/>
                <w:szCs w:val="20"/>
              </w:rPr>
            </w:pPr>
            <w:r w:rsidRPr="00D73DCC">
              <w:rPr>
                <w:bCs/>
                <w:sz w:val="20"/>
                <w:szCs w:val="20"/>
              </w:rPr>
              <w:t xml:space="preserve">Знание комплектности учебно-методического обеспечения; </w:t>
            </w:r>
          </w:p>
          <w:p w:rsidR="00312313" w:rsidRPr="00D73DCC" w:rsidRDefault="00312313"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r>
      <w:tr w:rsidR="00312313" w:rsidRPr="00D73DCC" w:rsidTr="00312313">
        <w:trPr>
          <w:trHeight w:val="2028"/>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464"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312313" w:rsidRPr="00D73DCC" w:rsidRDefault="00312313"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312313" w:rsidRPr="00D73DCC" w:rsidRDefault="00312313"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Выбор педагогических технологий соотносится с задачами занятия.</w:t>
            </w:r>
          </w:p>
        </w:tc>
      </w:tr>
      <w:tr w:rsidR="00312313" w:rsidRPr="00D73DCC" w:rsidTr="00312313">
        <w:trPr>
          <w:trHeight w:val="2232"/>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семинарских занятий</w:t>
            </w:r>
          </w:p>
        </w:tc>
        <w:tc>
          <w:tcPr>
            <w:tcW w:w="3464"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социологических </w:t>
            </w:r>
            <w:r w:rsidRPr="00D73DCC">
              <w:rPr>
                <w:bCs/>
                <w:iCs/>
                <w:sz w:val="20"/>
                <w:szCs w:val="20"/>
              </w:rPr>
              <w:t xml:space="preserve">наук. </w:t>
            </w:r>
          </w:p>
          <w:p w:rsidR="00312313" w:rsidRPr="00D73DCC" w:rsidRDefault="00312313"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312313" w:rsidRPr="00D73DCC" w:rsidRDefault="00312313"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312313" w:rsidRPr="00D73DCC" w:rsidRDefault="00312313" w:rsidP="00855F97">
            <w:pPr>
              <w:tabs>
                <w:tab w:val="left" w:pos="2804"/>
              </w:tabs>
              <w:jc w:val="both"/>
              <w:rPr>
                <w:bCs/>
                <w:iCs/>
                <w:sz w:val="20"/>
                <w:szCs w:val="20"/>
              </w:rPr>
            </w:pPr>
            <w:r w:rsidRPr="00D73DCC">
              <w:rPr>
                <w:bCs/>
                <w:iCs/>
                <w:sz w:val="20"/>
                <w:szCs w:val="20"/>
              </w:rPr>
              <w:t xml:space="preserve">Выбор </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r>
      <w:tr w:rsidR="00312313" w:rsidRPr="00D73DCC" w:rsidTr="00312313">
        <w:trPr>
          <w:trHeight w:val="1824"/>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464"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312313" w:rsidRPr="00D73DCC" w:rsidRDefault="00312313"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312313" w:rsidRPr="00D73DCC" w:rsidRDefault="00312313"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312313" w:rsidRPr="00D73DCC" w:rsidRDefault="00312313"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r>
      <w:tr w:rsidR="00312313" w:rsidRPr="00D73DCC" w:rsidTr="00312313">
        <w:trPr>
          <w:trHeight w:val="1212"/>
        </w:trPr>
        <w:tc>
          <w:tcPr>
            <w:tcW w:w="204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jc w:val="both"/>
              <w:rPr>
                <w:rFonts w:eastAsia="SimSun"/>
                <w:b/>
                <w:sz w:val="20"/>
                <w:szCs w:val="20"/>
                <w:lang w:eastAsia="zh-CN"/>
              </w:rPr>
            </w:pPr>
            <w:r w:rsidRPr="00D73DCC">
              <w:rPr>
                <w:b/>
                <w:sz w:val="20"/>
                <w:szCs w:val="20"/>
              </w:rPr>
              <w:t xml:space="preserve">Подведение </w:t>
            </w:r>
          </w:p>
          <w:p w:rsidR="00312313" w:rsidRPr="00D73DCC" w:rsidRDefault="00312313" w:rsidP="00855F97">
            <w:pPr>
              <w:tabs>
                <w:tab w:val="left" w:pos="2804"/>
              </w:tabs>
              <w:jc w:val="both"/>
              <w:rPr>
                <w:rFonts w:eastAsia="SimSun"/>
                <w:b/>
                <w:sz w:val="20"/>
                <w:szCs w:val="20"/>
                <w:lang w:eastAsia="zh-CN"/>
              </w:rPr>
            </w:pPr>
            <w:r w:rsidRPr="00D73DCC">
              <w:rPr>
                <w:b/>
                <w:sz w:val="20"/>
                <w:szCs w:val="20"/>
              </w:rPr>
              <w:t>итогов</w:t>
            </w:r>
          </w:p>
        </w:tc>
        <w:tc>
          <w:tcPr>
            <w:tcW w:w="3464"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312313" w:rsidRPr="00D73DCC" w:rsidRDefault="00312313"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778" w:type="dxa"/>
            <w:tcBorders>
              <w:top w:val="single" w:sz="4" w:space="0" w:color="auto"/>
              <w:left w:val="single" w:sz="4" w:space="0" w:color="auto"/>
              <w:bottom w:val="single" w:sz="4" w:space="0" w:color="auto"/>
              <w:right w:val="single" w:sz="4" w:space="0" w:color="auto"/>
            </w:tcBorders>
            <w:hideMark/>
          </w:tcPr>
          <w:p w:rsidR="00312313" w:rsidRPr="00D73DCC" w:rsidRDefault="00312313"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FF5BAB" w:rsidRDefault="00FF5BAB" w:rsidP="0094561B">
      <w:pPr>
        <w:autoSpaceDE w:val="0"/>
        <w:autoSpaceDN w:val="0"/>
        <w:adjustRightInd w:val="0"/>
        <w:ind w:firstLine="708"/>
        <w:jc w:val="both"/>
      </w:pPr>
      <w:r w:rsidRPr="00D73DCC">
        <w:rPr>
          <w:b/>
          <w:i/>
        </w:rPr>
        <w:t xml:space="preserve">Оформления результатов оценивания </w:t>
      </w:r>
    </w:p>
    <w:p w:rsidR="00312313" w:rsidRPr="00D632B9" w:rsidRDefault="00312313" w:rsidP="00312313">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312313" w:rsidRDefault="00312313" w:rsidP="002E3640">
      <w:pPr>
        <w:ind w:firstLine="397"/>
      </w:pPr>
      <w:r>
        <w:t xml:space="preserve">Оценка </w:t>
      </w:r>
      <w:r w:rsidRPr="00312313">
        <w:rPr>
          <w:b/>
        </w:rPr>
        <w:t>«зачтено»</w:t>
      </w:r>
      <w:r>
        <w:t xml:space="preserve"> -</w:t>
      </w:r>
      <w:r>
        <w:t xml:space="preserve"> </w:t>
      </w:r>
      <w:r>
        <w:t>о</w:t>
      </w:r>
      <w:r>
        <w:t>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w:t>
      </w:r>
    </w:p>
    <w:p w:rsidR="002E3640" w:rsidRDefault="00312313" w:rsidP="002E3640">
      <w:pPr>
        <w:ind w:firstLine="397"/>
      </w:pPr>
      <w:r>
        <w:t xml:space="preserve"> </w:t>
      </w:r>
      <w:r w:rsidRPr="00312313">
        <w:rPr>
          <w:b/>
        </w:rPr>
        <w:t>«</w:t>
      </w:r>
      <w:r w:rsidRPr="00312313">
        <w:rPr>
          <w:b/>
        </w:rPr>
        <w:t>Н</w:t>
      </w:r>
      <w:r w:rsidRPr="00312313">
        <w:rPr>
          <w:b/>
        </w:rPr>
        <w:t>е зачтено»</w:t>
      </w:r>
      <w:r>
        <w:t xml:space="preserve"> </w:t>
      </w:r>
      <w:r>
        <w:t>- о</w:t>
      </w:r>
      <w:r>
        <w:t>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w:t>
      </w:r>
    </w:p>
    <w:p w:rsidR="00312313" w:rsidRPr="00D034BE" w:rsidRDefault="00312313" w:rsidP="002E3640">
      <w:pPr>
        <w:ind w:firstLine="397"/>
      </w:pPr>
      <w:bookmarkStart w:id="1" w:name="_GoBack"/>
      <w:bookmarkEnd w:id="1"/>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DF59A9" w:rsidRDefault="00DF59A9"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Pr="00D034BE" w:rsidRDefault="00FF5BAB"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Бордовская Н. В., Реан А. А. Педагогика. Учебное пособие. — Санкт-Петербург: Пи-тер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 К 2014 г.— 284 с. — Электронное издание.</w:t>
      </w:r>
    </w:p>
    <w:p w:rsidR="00C34671" w:rsidRPr="00287703" w:rsidRDefault="00C34671" w:rsidP="00C34671">
      <w:pPr>
        <w:numPr>
          <w:ilvl w:val="0"/>
          <w:numId w:val="6"/>
        </w:numPr>
        <w:jc w:val="both"/>
      </w:pPr>
      <w:r w:rsidRPr="00287703">
        <w:t>Столяренко, Людмила Дмитриевна. Психология и педагогика [Электронный ресурс]</w:t>
      </w:r>
    </w:p>
    <w:p w:rsidR="00C34671" w:rsidRPr="00287703" w:rsidRDefault="00C34671" w:rsidP="00C34671">
      <w:pPr>
        <w:ind w:left="567" w:hanging="141"/>
        <w:rPr>
          <w:bCs/>
        </w:rPr>
      </w:pPr>
      <w:r w:rsidRPr="00287703">
        <w:rPr>
          <w:bCs/>
        </w:rPr>
        <w:t>М.: Юрайт</w:t>
      </w:r>
      <w:r w:rsidRPr="00287703">
        <w:t xml:space="preserve"> </w:t>
      </w:r>
      <w:r w:rsidRPr="00287703">
        <w:rPr>
          <w:bCs/>
        </w:rPr>
        <w:t>2017.-</w:t>
      </w:r>
      <w:r w:rsidRPr="00287703">
        <w:t xml:space="preserve"> </w:t>
      </w:r>
      <w:r w:rsidRPr="00287703">
        <w:rPr>
          <w:bCs/>
        </w:rPr>
        <w:t>509с.</w:t>
      </w:r>
      <w:r w:rsidRPr="00287703">
        <w:t xml:space="preserve"> </w:t>
      </w:r>
      <w:r w:rsidRPr="00287703">
        <w:rPr>
          <w:bCs/>
        </w:rPr>
        <w:t>https://www.biblio-online.ru/viewer/psihologiya-i-pedagogika-406322?share_image_id=#/</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Чучалин,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312313"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312313"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312313"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312313"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312313"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A3" w:rsidRDefault="002A7DA3">
      <w:r>
        <w:separator/>
      </w:r>
    </w:p>
  </w:endnote>
  <w:endnote w:type="continuationSeparator" w:id="0">
    <w:p w:rsidR="002A7DA3" w:rsidRDefault="002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31231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A3" w:rsidRDefault="002A7DA3">
      <w:r>
        <w:separator/>
      </w:r>
    </w:p>
  </w:footnote>
  <w:footnote w:type="continuationSeparator" w:id="0">
    <w:p w:rsidR="002A7DA3" w:rsidRDefault="002A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312313">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312313">
      <w:rPr>
        <w:noProof/>
      </w:rPr>
      <w:t>9</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2"/>
  </w:num>
  <w:num w:numId="4">
    <w:abstractNumId w:val="8"/>
  </w:num>
  <w:num w:numId="5">
    <w:abstractNumId w:val="17"/>
  </w:num>
  <w:num w:numId="6">
    <w:abstractNumId w:val="21"/>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9"/>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3"/>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C21BC"/>
    <w:rsid w:val="000C4BAE"/>
    <w:rsid w:val="000D6582"/>
    <w:rsid w:val="00131DA2"/>
    <w:rsid w:val="00136457"/>
    <w:rsid w:val="0016313B"/>
    <w:rsid w:val="00172663"/>
    <w:rsid w:val="00193DF1"/>
    <w:rsid w:val="001E4C75"/>
    <w:rsid w:val="001E5636"/>
    <w:rsid w:val="002254BC"/>
    <w:rsid w:val="00243DE1"/>
    <w:rsid w:val="002915F7"/>
    <w:rsid w:val="002A7DA3"/>
    <w:rsid w:val="002B5DA3"/>
    <w:rsid w:val="002D067C"/>
    <w:rsid w:val="002D5CC6"/>
    <w:rsid w:val="002E3640"/>
    <w:rsid w:val="002F172F"/>
    <w:rsid w:val="00302858"/>
    <w:rsid w:val="003031F7"/>
    <w:rsid w:val="00312313"/>
    <w:rsid w:val="00324BF5"/>
    <w:rsid w:val="00334CFA"/>
    <w:rsid w:val="0036216C"/>
    <w:rsid w:val="00370FAE"/>
    <w:rsid w:val="00384E70"/>
    <w:rsid w:val="003B52C8"/>
    <w:rsid w:val="003B7897"/>
    <w:rsid w:val="003C5B53"/>
    <w:rsid w:val="003C6AEB"/>
    <w:rsid w:val="003E5F5F"/>
    <w:rsid w:val="004254A6"/>
    <w:rsid w:val="00480B57"/>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462CA"/>
    <w:rsid w:val="00752103"/>
    <w:rsid w:val="0077683D"/>
    <w:rsid w:val="00777693"/>
    <w:rsid w:val="00793F15"/>
    <w:rsid w:val="007A2BCA"/>
    <w:rsid w:val="007B051C"/>
    <w:rsid w:val="007C0017"/>
    <w:rsid w:val="007D42DB"/>
    <w:rsid w:val="008250A8"/>
    <w:rsid w:val="00830682"/>
    <w:rsid w:val="00885A72"/>
    <w:rsid w:val="00893E52"/>
    <w:rsid w:val="0089636E"/>
    <w:rsid w:val="009025AB"/>
    <w:rsid w:val="009112D2"/>
    <w:rsid w:val="00916FA5"/>
    <w:rsid w:val="0094561B"/>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14D7D"/>
    <w:rsid w:val="00B3620B"/>
    <w:rsid w:val="00B67B6C"/>
    <w:rsid w:val="00B86F4F"/>
    <w:rsid w:val="00B879EC"/>
    <w:rsid w:val="00BB22C0"/>
    <w:rsid w:val="00BC60B3"/>
    <w:rsid w:val="00BC7996"/>
    <w:rsid w:val="00BD0CA5"/>
    <w:rsid w:val="00C34671"/>
    <w:rsid w:val="00C34FA9"/>
    <w:rsid w:val="00C74DED"/>
    <w:rsid w:val="00CA2724"/>
    <w:rsid w:val="00CA492E"/>
    <w:rsid w:val="00CD5029"/>
    <w:rsid w:val="00CD52C9"/>
    <w:rsid w:val="00CD79C3"/>
    <w:rsid w:val="00CE7FA4"/>
    <w:rsid w:val="00CF4EF2"/>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5CAB"/>
    <w:rsid w:val="00E72BE9"/>
    <w:rsid w:val="00E84ACE"/>
    <w:rsid w:val="00EA0E0A"/>
    <w:rsid w:val="00EE728E"/>
    <w:rsid w:val="00EF15EF"/>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550C9"/>
  <w15:docId w15:val="{870D7AD1-89DB-4C15-A588-65D02123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34"/>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numbering" Target="numbering.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BE1E-9ABD-443E-B3F8-359C47CC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44</cp:revision>
  <dcterms:created xsi:type="dcterms:W3CDTF">2017-08-30T16:24:00Z</dcterms:created>
  <dcterms:modified xsi:type="dcterms:W3CDTF">2021-09-27T09:09:00Z</dcterms:modified>
</cp:coreProperties>
</file>