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</w:t>
            </w:r>
            <w:r w:rsidR="007A276F" w:rsidRPr="00A06D25">
              <w:t>от «</w:t>
            </w:r>
            <w:r w:rsidR="007A276F">
              <w:t>01</w:t>
            </w:r>
            <w:r w:rsidR="007A276F" w:rsidRPr="00A06D25">
              <w:t xml:space="preserve">» </w:t>
            </w:r>
            <w:r w:rsidR="007A276F">
              <w:t>июня</w:t>
            </w:r>
            <w:r w:rsidR="007A276F" w:rsidRPr="00A06D25">
              <w:t xml:space="preserve"> 20</w:t>
            </w:r>
            <w:r w:rsidR="007A276F">
              <w:t>20</w:t>
            </w:r>
            <w:r w:rsidR="007A276F" w:rsidRPr="00A06D25">
              <w:t xml:space="preserve"> г. №</w:t>
            </w:r>
            <w:r w:rsidR="007A276F">
              <w:t>4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 xml:space="preserve">38.06.01 Экономика </w:t>
      </w:r>
    </w:p>
    <w:p w:rsidR="00074AA6" w:rsidRDefault="00074AA6" w:rsidP="00074AA6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Экономика и управление народным хозяйством (региональная экономика)</w:t>
      </w:r>
    </w:p>
    <w:p w:rsidR="00074AA6" w:rsidRDefault="00074AA6" w:rsidP="00074AA6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(профиль)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  <w:rPr>
          <w:i/>
          <w:iCs/>
        </w:rPr>
      </w:pPr>
      <w:r>
        <w:t>Исследователь. Преподаватель-исследователь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(квалификация)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Очная/заочная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 обучения)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Pr="00AB0BA0" w:rsidRDefault="00AB0BA0" w:rsidP="00074AA6">
      <w:pPr>
        <w:ind w:firstLine="567"/>
        <w:jc w:val="center"/>
      </w:pPr>
      <w:r>
        <w:t>Год набора - 20</w:t>
      </w:r>
      <w:r w:rsidR="007A276F">
        <w:t>21</w:t>
      </w: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31E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</w:t>
      </w:r>
      <w:r w:rsidR="007A276F">
        <w:rPr>
          <w:rFonts w:eastAsia="MS Mincho"/>
          <w:szCs w:val="24"/>
          <w:lang w:eastAsia="ru-RU"/>
        </w:rPr>
        <w:t>20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1B4E8A" w:rsidRPr="0045571C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color w:val="000000"/>
                <w:szCs w:val="24"/>
              </w:rPr>
            </w:pPr>
            <w:r w:rsidRPr="0045571C">
              <w:rPr>
                <w:szCs w:val="24"/>
              </w:rPr>
              <w:t xml:space="preserve"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>ПК-1.2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45571C" w:rsidRPr="0045571C" w:rsidRDefault="0045571C" w:rsidP="0045571C">
            <w:pPr>
              <w:jc w:val="both"/>
              <w:rPr>
                <w:szCs w:val="24"/>
              </w:rPr>
            </w:pPr>
          </w:p>
        </w:tc>
      </w:tr>
      <w:tr w:rsidR="0045571C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t>ПК-2.2.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ПК-4.</w:t>
            </w:r>
            <w:r w:rsidR="002C331E" w:rsidRPr="0045571C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>в региональнй экономике</w:t>
            </w:r>
            <w:r w:rsidRPr="00A474B8">
              <w:t>с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6F6CEF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УК-2.2</w:t>
            </w:r>
          </w:p>
          <w:p w:rsidR="006F6CEF" w:rsidRPr="00D1638D" w:rsidRDefault="006F6CEF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4517FB" w:rsidRDefault="004517FB" w:rsidP="004517FB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 w:val="24"/>
                <w:szCs w:val="24"/>
              </w:rPr>
              <w:t xml:space="preserve"> </w:t>
            </w:r>
          </w:p>
          <w:p w:rsidR="004517FB" w:rsidRPr="00EE4836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4517FB" w:rsidRPr="00831054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t>у</w:t>
            </w:r>
            <w:r w:rsidRPr="00EE4836">
              <w:t xml:space="preserve">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6F6CEF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4517FB" w:rsidRDefault="004517FB" w:rsidP="004517F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17FB">
              <w:rPr>
                <w:szCs w:val="24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 xml:space="preserve">теме, предлагать методы исследования и способы обработки результатов, проводить </w:t>
            </w:r>
            <w:r w:rsidRPr="00F4392A">
              <w:rPr>
                <w:szCs w:val="24"/>
              </w:rPr>
              <w:lastRenderedPageBreak/>
              <w:t>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EE4836" w:rsidRDefault="004517FB" w:rsidP="004517FB">
            <w:pPr>
              <w:pStyle w:val="a5"/>
              <w:numPr>
                <w:ilvl w:val="0"/>
                <w:numId w:val="35"/>
              </w:numPr>
              <w:overflowPunct/>
              <w:adjustRightInd w:val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F80D37">
              <w:rPr>
                <w:b/>
              </w:rPr>
              <w:t xml:space="preserve"> </w:t>
            </w:r>
          </w:p>
          <w:p w:rsidR="006F6CEF" w:rsidRPr="004517FB" w:rsidRDefault="004517FB" w:rsidP="004517FB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</w:tc>
      </w:tr>
      <w:tr w:rsidR="006C7028" w:rsidRPr="004517FB" w:rsidTr="006F6CE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C7028" w:rsidRPr="004517FB" w:rsidRDefault="004517FB" w:rsidP="006C7028">
            <w:pPr>
              <w:jc w:val="both"/>
              <w:rPr>
                <w:b w:val="0"/>
                <w:sz w:val="20"/>
                <w:szCs w:val="20"/>
              </w:rPr>
            </w:pPr>
            <w:r w:rsidRPr="004517FB">
              <w:rPr>
                <w:b w:val="0"/>
                <w:sz w:val="24"/>
                <w:szCs w:val="24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ПК-1.2</w:t>
            </w:r>
          </w:p>
          <w:p w:rsidR="006C7028" w:rsidRPr="004517FB" w:rsidRDefault="006C7028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4517FB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17FB">
              <w:rPr>
                <w:sz w:val="24"/>
              </w:rPr>
              <w:t>НА УРОВНЕ ЗНАНИЙ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6C7028" w:rsidRPr="004517FB" w:rsidRDefault="006C7028" w:rsidP="004517FB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7028" w:rsidRPr="00D1638D" w:rsidTr="004517FB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7B15" w:rsidRPr="004517FB" w:rsidTr="0051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4517FB" w:rsidRDefault="004517FB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517FB">
              <w:rPr>
                <w:b w:val="0"/>
                <w:sz w:val="24"/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ПК-2.2.</w:t>
            </w:r>
          </w:p>
          <w:p w:rsidR="00517B15" w:rsidRPr="004517FB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</w:rPr>
              <w:t>НА УРОВНЕ ЗНАНИЙ</w:t>
            </w:r>
            <w:r w:rsidRPr="004517FB">
              <w:rPr>
                <w:sz w:val="24"/>
                <w:szCs w:val="24"/>
              </w:rPr>
              <w:t xml:space="preserve"> 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4517FB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17B15" w:rsidRPr="00D1638D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517B15" w:rsidRPr="00D1638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B15" w:rsidRPr="00720C54" w:rsidTr="00720C5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720C54" w:rsidRDefault="00720C54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720C54">
              <w:rPr>
                <w:b w:val="0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813" w:type="pct"/>
            <w:vMerge w:val="restart"/>
          </w:tcPr>
          <w:p w:rsidR="00517B15" w:rsidRPr="00720C54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20C54">
              <w:rPr>
                <w:szCs w:val="24"/>
              </w:rPr>
              <w:t>ПК-4.2</w:t>
            </w:r>
          </w:p>
        </w:tc>
        <w:tc>
          <w:tcPr>
            <w:tcW w:w="2515" w:type="pct"/>
          </w:tcPr>
          <w:p w:rsidR="00517B15" w:rsidRPr="00720C54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C54">
              <w:t>На уровне знаний</w:t>
            </w:r>
          </w:p>
          <w:p w:rsid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-проблемы государственной поддержки инновационной деятельности; </w:t>
            </w:r>
          </w:p>
          <w:p w:rsidR="00517B15" w:rsidRP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-способы оценки эффективности инновационных проектов и оценки затрат; 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92A">
              <w:t>На уровне умений:</w:t>
            </w:r>
          </w:p>
          <w:p w:rsidR="00517B15" w:rsidRPr="00720C54" w:rsidRDefault="00720C54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17B15" w:rsidRPr="00D1638D" w:rsidTr="006F6CE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92A">
              <w:t>На уровне навыков:</w:t>
            </w:r>
          </w:p>
          <w:p w:rsidR="00720C54" w:rsidRPr="00815C4C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оценки эффективности инновационной деятельности</w:t>
            </w:r>
          </w:p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r w:rsidR="00AA589A">
        <w:rPr>
          <w:color w:val="000000"/>
          <w:szCs w:val="24"/>
        </w:rPr>
        <w:t>проблемы</w:t>
      </w:r>
      <w:r w:rsidR="009474EB">
        <w:rPr>
          <w:color w:val="000000"/>
          <w:szCs w:val="24"/>
        </w:rPr>
        <w:t xml:space="preserve">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</w:t>
      </w:r>
      <w:r w:rsidR="00AA589A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AA589A" w:rsidRPr="00D632B9" w:rsidRDefault="00AA589A" w:rsidP="00AA589A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A589A" w:rsidRPr="00AA589A" w:rsidRDefault="00AA589A" w:rsidP="00AA589A">
      <w:bookmarkStart w:id="0" w:name="_GoBack"/>
      <w:bookmarkEnd w:id="0"/>
    </w:p>
    <w:p w:rsidR="00AA589A" w:rsidRDefault="00AA589A" w:rsidP="00AA589A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AA589A" w:rsidRDefault="00AA589A" w:rsidP="00AA589A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AA589A" w:rsidRPr="003A2D79" w:rsidRDefault="00AA589A" w:rsidP="00AA589A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47" w:rsidRDefault="00DC2147" w:rsidP="00371545">
      <w:r>
        <w:separator/>
      </w:r>
    </w:p>
  </w:endnote>
  <w:endnote w:type="continuationSeparator" w:id="0">
    <w:p w:rsidR="00DC2147" w:rsidRDefault="00DC2147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807316" w:rsidRDefault="00E60A02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58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47" w:rsidRDefault="00DC2147" w:rsidP="00371545">
      <w:r>
        <w:separator/>
      </w:r>
    </w:p>
  </w:footnote>
  <w:footnote w:type="continuationSeparator" w:id="0">
    <w:p w:rsidR="00DC2147" w:rsidRDefault="00DC2147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2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36"/>
  </w:num>
  <w:num w:numId="15">
    <w:abstractNumId w:val="38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32"/>
  </w:num>
  <w:num w:numId="26">
    <w:abstractNumId w:val="40"/>
  </w:num>
  <w:num w:numId="27">
    <w:abstractNumId w:val="5"/>
  </w:num>
  <w:num w:numId="28">
    <w:abstractNumId w:val="21"/>
  </w:num>
  <w:num w:numId="29">
    <w:abstractNumId w:val="6"/>
  </w:num>
  <w:num w:numId="30">
    <w:abstractNumId w:val="39"/>
  </w:num>
  <w:num w:numId="31">
    <w:abstractNumId w:val="37"/>
  </w:num>
  <w:num w:numId="32">
    <w:abstractNumId w:val="30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4"/>
  </w:num>
  <w:num w:numId="40">
    <w:abstractNumId w:val="10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74AA6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517FB"/>
    <w:rsid w:val="0045571C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20C54"/>
    <w:rsid w:val="00737B7A"/>
    <w:rsid w:val="00765A71"/>
    <w:rsid w:val="00771497"/>
    <w:rsid w:val="00776755"/>
    <w:rsid w:val="007827F5"/>
    <w:rsid w:val="007A276F"/>
    <w:rsid w:val="00807316"/>
    <w:rsid w:val="00824F71"/>
    <w:rsid w:val="008409AA"/>
    <w:rsid w:val="008825FC"/>
    <w:rsid w:val="008828DF"/>
    <w:rsid w:val="008C69A0"/>
    <w:rsid w:val="009027A8"/>
    <w:rsid w:val="009133D9"/>
    <w:rsid w:val="009474EB"/>
    <w:rsid w:val="009602D1"/>
    <w:rsid w:val="00981C7E"/>
    <w:rsid w:val="009B5198"/>
    <w:rsid w:val="009E4FC8"/>
    <w:rsid w:val="009F0D79"/>
    <w:rsid w:val="00A278AD"/>
    <w:rsid w:val="00A46161"/>
    <w:rsid w:val="00A9060D"/>
    <w:rsid w:val="00A962C5"/>
    <w:rsid w:val="00AA589A"/>
    <w:rsid w:val="00AB0BA0"/>
    <w:rsid w:val="00AF73E9"/>
    <w:rsid w:val="00B21E6A"/>
    <w:rsid w:val="00B50D86"/>
    <w:rsid w:val="00B70CE8"/>
    <w:rsid w:val="00B74D59"/>
    <w:rsid w:val="00B91CB9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DC2147"/>
    <w:rsid w:val="00E0355F"/>
    <w:rsid w:val="00E341B2"/>
    <w:rsid w:val="00E45059"/>
    <w:rsid w:val="00E47CC1"/>
    <w:rsid w:val="00E60A02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95351"/>
    <w:rsid w:val="00FA0762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A10D"/>
  <w15:docId w15:val="{0EFEBEBD-E03A-4B65-A816-43458F2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0998-AECE-4997-B86E-2A740D3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29</cp:revision>
  <cp:lastPrinted>2018-02-01T10:45:00Z</cp:lastPrinted>
  <dcterms:created xsi:type="dcterms:W3CDTF">2018-09-11T17:11:00Z</dcterms:created>
  <dcterms:modified xsi:type="dcterms:W3CDTF">2021-10-06T14:28:00Z</dcterms:modified>
</cp:coreProperties>
</file>