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C" w:rsidRPr="008E3DE2" w:rsidRDefault="00F10BBC" w:rsidP="002760FB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6516C7" w:rsidRPr="006516C7" w:rsidRDefault="006516C7" w:rsidP="002760FB">
      <w:pPr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ОП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бюджетное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высшего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АКАДЕМИЯ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НАРОДНОГО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ХОЗЯЙСТВА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СЛУЖБЫ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ПРЕЗИДЕНТЕ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ФЕДЕРАЦИИ»</w:t>
      </w:r>
    </w:p>
    <w:p w:rsidR="006516C7" w:rsidRPr="006516C7" w:rsidRDefault="006516C7" w:rsidP="002760FB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ИНСТИТУТ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филиал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РАНХиГС</w:t>
      </w: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КАФЕДРА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ПРАВОВЕДЕНИЯ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16C7" w:rsidRPr="006516C7" w:rsidRDefault="006516C7" w:rsidP="002760FB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502FD" w:rsidTr="00B502FD">
        <w:trPr>
          <w:trHeight w:val="2430"/>
        </w:trPr>
        <w:tc>
          <w:tcPr>
            <w:tcW w:w="5070" w:type="dxa"/>
          </w:tcPr>
          <w:p w:rsidR="00B502FD" w:rsidRDefault="00B502FD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502FD" w:rsidRDefault="00B502FD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jc w:val="center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B502FD" w:rsidRDefault="00B502FD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B502FD" w:rsidRDefault="00B502FD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B502FD" w:rsidRDefault="00716B1E" w:rsidP="00D10C1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="00D10C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1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г. № </w:t>
            </w:r>
            <w:r w:rsidR="00D1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0BBC" w:rsidRPr="008E3DE2" w:rsidRDefault="00F10BBC" w:rsidP="002760FB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Default="00F54534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ОЦЕНОЧНЫХ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СРЕДСТВ</w:t>
      </w:r>
    </w:p>
    <w:p w:rsidR="00F54534" w:rsidRPr="008E3DE2" w:rsidRDefault="00F54534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ИТОГОВОЙ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АТТЕСТАЦИИ</w:t>
      </w: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40.06.01</w:t>
      </w:r>
      <w:r w:rsidR="00A6068B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Юриспруденция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(код,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наименование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направления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подготовки)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lang w:eastAsia="ru-RU"/>
        </w:rPr>
      </w:pPr>
    </w:p>
    <w:p w:rsidR="003A3A15" w:rsidRPr="003A3A15" w:rsidRDefault="00A6068B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«Конституционное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право;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конституционный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судебный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процесс;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муниципальное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право»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(направленность)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</w:t>
      </w:r>
      <w:r w:rsidR="00A72204">
        <w:rPr>
          <w:rFonts w:ascii="Times New Roman" w:hAnsi="Times New Roman"/>
          <w:sz w:val="24"/>
          <w:szCs w:val="24"/>
        </w:rPr>
        <w:t>И</w:t>
      </w:r>
      <w:r w:rsidR="00A72204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очная</w:t>
      </w:r>
      <w:r w:rsidR="00A6068B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/заочная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(формы)</w:t>
      </w:r>
      <w:r w:rsidR="00603380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обучения)</w:t>
      </w: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E745D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Год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набора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10C18">
        <w:rPr>
          <w:rFonts w:ascii="Times New Roman" w:hAnsi="Times New Roman" w:cs="Times New Roman"/>
          <w:sz w:val="24"/>
          <w:lang w:eastAsia="ru-RU"/>
        </w:rPr>
        <w:t>2019</w:t>
      </w:r>
      <w:bookmarkStart w:id="0" w:name="_GoBack"/>
      <w:bookmarkEnd w:id="0"/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896545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Санкт-Петербург,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 w:rsidR="00FE745D">
        <w:rPr>
          <w:rFonts w:ascii="Times New Roman" w:hAnsi="Times New Roman" w:cs="Times New Roman"/>
          <w:sz w:val="24"/>
          <w:lang w:eastAsia="ru-RU"/>
        </w:rPr>
        <w:t>201</w:t>
      </w:r>
      <w:r w:rsidR="0057358C">
        <w:rPr>
          <w:rFonts w:ascii="Times New Roman" w:hAnsi="Times New Roman" w:cs="Times New Roman"/>
          <w:sz w:val="24"/>
          <w:lang w:eastAsia="ru-RU"/>
        </w:rPr>
        <w:t>8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 w:rsidR="00F10BBC" w:rsidRPr="008E3DE2">
        <w:rPr>
          <w:rFonts w:ascii="Times New Roman" w:hAnsi="Times New Roman" w:cs="Times New Roman"/>
          <w:sz w:val="24"/>
          <w:lang w:eastAsia="ru-RU"/>
        </w:rPr>
        <w:t>г.</w:t>
      </w:r>
      <w:r w:rsidR="00F10BBC" w:rsidRPr="008E3DE2">
        <w:rPr>
          <w:rFonts w:ascii="Times New Roman" w:eastAsia="MS Mincho" w:hAnsi="Times New Roman" w:cs="Times New Roman"/>
          <w:lang w:eastAsia="ru-RU"/>
        </w:rPr>
        <w:br w:type="page"/>
      </w: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Авто</w:t>
      </w:r>
      <w:proofErr w:type="gramStart"/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р(</w:t>
      </w:r>
      <w:proofErr w:type="gramEnd"/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ы)–составитель(и):</w:t>
      </w:r>
    </w:p>
    <w:p w:rsidR="003E0A5F" w:rsidRPr="008E3DE2" w:rsidRDefault="003E0A5F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</w:p>
    <w:p w:rsidR="003E0A5F" w:rsidRDefault="003E0A5F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C614C5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к.ю.н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.,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доцент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кафедры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правоведения</w:t>
      </w:r>
      <w:r w:rsidR="006033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E0A5F">
        <w:rPr>
          <w:rFonts w:ascii="Times New Roman" w:hAnsi="Times New Roman" w:cs="Times New Roman"/>
          <w:sz w:val="24"/>
          <w:lang w:eastAsia="ru-RU"/>
        </w:rPr>
        <w:t>Антонов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Я.</w:t>
      </w:r>
      <w:r w:rsidR="00095918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068B">
        <w:rPr>
          <w:rFonts w:ascii="Times New Roman" w:hAnsi="Times New Roman" w:cs="Times New Roman"/>
          <w:sz w:val="24"/>
          <w:lang w:eastAsia="ru-RU"/>
        </w:rPr>
        <w:t>В.</w:t>
      </w:r>
    </w:p>
    <w:p w:rsidR="00C614C5" w:rsidRDefault="00C614C5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C614C5" w:rsidRDefault="00C614C5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0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8B3264" w:rsidRPr="0042507C" w:rsidRDefault="008B3264" w:rsidP="002760FB">
      <w:pPr>
        <w:ind w:firstLine="0"/>
        <w:rPr>
          <w:rFonts w:ascii="Times New Roman" w:hAnsi="Times New Roman" w:cs="Times New Roman"/>
          <w:color w:val="000000"/>
        </w:rPr>
      </w:pPr>
      <w:r w:rsidRPr="0042507C">
        <w:rPr>
          <w:rFonts w:ascii="Times New Roman" w:hAnsi="Times New Roman" w:cs="Times New Roman"/>
          <w:color w:val="000000"/>
        </w:rPr>
        <w:t>Заведующий</w:t>
      </w:r>
      <w:r w:rsidR="00A6068B">
        <w:rPr>
          <w:rFonts w:ascii="Times New Roman" w:hAnsi="Times New Roman" w:cs="Times New Roman"/>
          <w:color w:val="000000"/>
        </w:rPr>
        <w:t xml:space="preserve"> </w:t>
      </w:r>
      <w:r w:rsidRPr="0042507C">
        <w:rPr>
          <w:rFonts w:ascii="Times New Roman" w:hAnsi="Times New Roman" w:cs="Times New Roman"/>
          <w:color w:val="000000"/>
        </w:rPr>
        <w:t>кафедрой</w:t>
      </w:r>
      <w:r w:rsidR="00A6068B">
        <w:rPr>
          <w:rFonts w:ascii="Times New Roman" w:hAnsi="Times New Roman" w:cs="Times New Roman"/>
          <w:color w:val="000000"/>
        </w:rPr>
        <w:t xml:space="preserve"> </w:t>
      </w:r>
    </w:p>
    <w:p w:rsidR="008B3264" w:rsidRPr="0042507C" w:rsidRDefault="008B3264" w:rsidP="002760FB">
      <w:pPr>
        <w:ind w:firstLine="0"/>
        <w:rPr>
          <w:rFonts w:ascii="Times New Roman" w:hAnsi="Times New Roman" w:cs="Times New Roman"/>
          <w:color w:val="000000"/>
          <w:u w:val="single"/>
        </w:rPr>
      </w:pPr>
      <w:r w:rsidRPr="0042507C">
        <w:rPr>
          <w:rFonts w:ascii="Times New Roman" w:hAnsi="Times New Roman" w:cs="Times New Roman"/>
          <w:color w:val="000000"/>
          <w:u w:val="single"/>
        </w:rPr>
        <w:t>правоведения</w:t>
      </w:r>
      <w:r w:rsidR="00A6068B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2507C">
        <w:rPr>
          <w:rFonts w:ascii="Times New Roman" w:hAnsi="Times New Roman" w:cs="Times New Roman"/>
          <w:color w:val="000000"/>
        </w:rPr>
        <w:tab/>
      </w:r>
      <w:r w:rsidR="00095918">
        <w:rPr>
          <w:rFonts w:ascii="Times New Roman" w:hAnsi="Times New Roman" w:cs="Times New Roman"/>
          <w:color w:val="000000"/>
        </w:rPr>
        <w:t xml:space="preserve">  </w:t>
      </w:r>
      <w:r w:rsidRPr="0042507C">
        <w:rPr>
          <w:rFonts w:ascii="Times New Roman" w:hAnsi="Times New Roman" w:cs="Times New Roman"/>
          <w:color w:val="000000"/>
        </w:rPr>
        <w:t>к.ф.-м.н.,</w:t>
      </w:r>
      <w:r w:rsidR="00A6068B">
        <w:rPr>
          <w:rFonts w:ascii="Times New Roman" w:hAnsi="Times New Roman" w:cs="Times New Roman"/>
          <w:color w:val="000000"/>
        </w:rPr>
        <w:t xml:space="preserve"> </w:t>
      </w:r>
      <w:r w:rsidRPr="0042507C">
        <w:rPr>
          <w:rFonts w:ascii="Times New Roman" w:hAnsi="Times New Roman" w:cs="Times New Roman"/>
          <w:color w:val="000000"/>
        </w:rPr>
        <w:t>доцент</w:t>
      </w:r>
      <w:r w:rsidR="006033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507C">
        <w:rPr>
          <w:rFonts w:ascii="Times New Roman" w:hAnsi="Times New Roman" w:cs="Times New Roman"/>
          <w:color w:val="000000"/>
          <w:u w:val="single"/>
        </w:rPr>
        <w:t>Цыпляев</w:t>
      </w:r>
      <w:proofErr w:type="spellEnd"/>
      <w:r w:rsidR="00A6068B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2507C">
        <w:rPr>
          <w:rFonts w:ascii="Times New Roman" w:hAnsi="Times New Roman" w:cs="Times New Roman"/>
          <w:color w:val="000000"/>
          <w:u w:val="single"/>
        </w:rPr>
        <w:t>С.А.</w:t>
      </w: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2051A" w:rsidRDefault="00F10BBC" w:rsidP="002760FB">
      <w:pPr>
        <w:ind w:firstLine="567"/>
        <w:jc w:val="center"/>
      </w:pPr>
      <w:r w:rsidRPr="008E3DE2">
        <w:rPr>
          <w:rFonts w:ascii="Times New Roman" w:hAnsi="Times New Roman" w:cs="Times New Roman"/>
          <w:b/>
          <w:sz w:val="24"/>
          <w:lang w:eastAsia="ru-RU"/>
        </w:rPr>
        <w:br w:type="page"/>
      </w:r>
      <w:r w:rsidR="00F2051A">
        <w:rPr>
          <w:rFonts w:ascii="Times New Roman" w:hAnsi="Times New Roman"/>
          <w:b/>
          <w:sz w:val="24"/>
        </w:rPr>
        <w:lastRenderedPageBreak/>
        <w:t>СОДЕРЖАНИЕ</w:t>
      </w:r>
    </w:p>
    <w:p w:rsidR="00F2051A" w:rsidRDefault="00F2051A" w:rsidP="002760FB">
      <w:pPr>
        <w:ind w:firstLine="567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923"/>
      </w:tblGrid>
      <w:tr w:rsidR="00F2051A" w:rsidTr="001710A6">
        <w:trPr>
          <w:trHeight w:val="2859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2760FB">
            <w:pPr>
              <w:ind w:firstLine="567"/>
              <w:jc w:val="center"/>
            </w:pPr>
          </w:p>
        </w:tc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  <w:t>Перечень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компетенций,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которыми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должны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овладеть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обучающиеся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освоения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 w:rsidR="00831CD2">
              <w:rPr>
                <w:rFonts w:ascii="Times New Roman" w:hAnsi="Times New Roman"/>
                <w:sz w:val="24"/>
              </w:rPr>
              <w:t xml:space="preserve"> 4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  <w:t>Показатели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критерии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оценивания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компетенций</w:t>
            </w:r>
            <w:r w:rsidR="00831CD2">
              <w:rPr>
                <w:rFonts w:ascii="Times New Roman" w:hAnsi="Times New Roman"/>
                <w:sz w:val="24"/>
              </w:rPr>
              <w:t xml:space="preserve"> 9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  <w:t>Шкалы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оценивания</w:t>
            </w:r>
            <w:r w:rsidR="00831CD2">
              <w:rPr>
                <w:rFonts w:ascii="Times New Roman" w:hAnsi="Times New Roman"/>
                <w:sz w:val="24"/>
              </w:rPr>
              <w:t xml:space="preserve"> 14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  <w:t>Типовые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оценки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освоения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 w:rsidR="00831CD2">
              <w:rPr>
                <w:rFonts w:ascii="Times New Roman" w:hAnsi="Times New Roman"/>
                <w:sz w:val="24"/>
              </w:rPr>
              <w:t xml:space="preserve"> 16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ab/>
              <w:t>Методические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</w:t>
            </w:r>
            <w:r w:rsidR="00831CD2">
              <w:rPr>
                <w:rFonts w:ascii="Times New Roman" w:hAnsi="Times New Roman"/>
                <w:sz w:val="24"/>
              </w:rPr>
              <w:t xml:space="preserve"> 17</w:t>
            </w:r>
          </w:p>
          <w:p w:rsidR="00F2051A" w:rsidRDefault="00F2051A" w:rsidP="002760FB">
            <w:pPr>
              <w:spacing w:before="100" w:after="100"/>
              <w:ind w:left="27"/>
            </w:pPr>
          </w:p>
        </w:tc>
      </w:tr>
    </w:tbl>
    <w:p w:rsidR="00F557BB" w:rsidRDefault="00F557BB" w:rsidP="002760FB">
      <w:pPr>
        <w:ind w:firstLine="567"/>
        <w:jc w:val="center"/>
      </w:pPr>
    </w:p>
    <w:tbl>
      <w:tblPr>
        <w:tblW w:w="648" w:type="dxa"/>
        <w:tblInd w:w="-108" w:type="dxa"/>
        <w:tblLook w:val="01E0" w:firstRow="1" w:lastRow="1" w:firstColumn="1" w:lastColumn="1" w:noHBand="0" w:noVBand="0"/>
      </w:tblPr>
      <w:tblGrid>
        <w:gridCol w:w="648"/>
      </w:tblGrid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</w:rPr>
        <w:br w:type="page"/>
      </w:r>
    </w:p>
    <w:p w:rsidR="00281D86" w:rsidRPr="00582D62" w:rsidRDefault="00192D78" w:rsidP="002760F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bookmarkStart w:id="1" w:name="_Toc308030185"/>
      <w:bookmarkStart w:id="2" w:name="_Toc299967372"/>
      <w:r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которыми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должны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овладеть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обучающиеся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результате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освоения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образовательной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</w:t>
      </w:r>
    </w:p>
    <w:p w:rsidR="00192D78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1.1.</w:t>
      </w:r>
      <w:r>
        <w:rPr>
          <w:rFonts w:ascii="Times New Roman" w:hAnsi="Times New Roman"/>
          <w:b/>
          <w:sz w:val="24"/>
        </w:rPr>
        <w:tab/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владение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которыми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должен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продемонстрировать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обучающийся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ходе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ГИА:</w:t>
      </w:r>
    </w:p>
    <w:p w:rsidR="00192D78" w:rsidRDefault="00192D78" w:rsidP="002760F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1.1.1.</w:t>
      </w:r>
      <w:r>
        <w:rPr>
          <w:rFonts w:ascii="Times New Roman" w:hAnsi="Times New Roman"/>
          <w:b/>
          <w:sz w:val="24"/>
        </w:rPr>
        <w:tab/>
        <w:t>При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защите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научного</w:t>
      </w:r>
      <w:r w:rsidR="00A6068B">
        <w:rPr>
          <w:rFonts w:ascii="Times New Roman" w:hAnsi="Times New Roman"/>
          <w:b/>
          <w:sz w:val="24"/>
        </w:rPr>
        <w:t xml:space="preserve"> </w:t>
      </w:r>
      <w:proofErr w:type="gramStart"/>
      <w:r w:rsidR="006516C7">
        <w:rPr>
          <w:rFonts w:ascii="Times New Roman" w:hAnsi="Times New Roman"/>
          <w:b/>
          <w:sz w:val="24"/>
        </w:rPr>
        <w:t>доклада</w:t>
      </w:r>
      <w:proofErr w:type="gramEnd"/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об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основных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результатах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подготовленной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научно-квалификационной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работы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(диссертации):</w:t>
      </w:r>
    </w:p>
    <w:p w:rsidR="00095918" w:rsidRDefault="00095918" w:rsidP="002760F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защите научно-квалификационной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45"/>
        <w:gridCol w:w="7711"/>
      </w:tblGrid>
      <w:tr w:rsidR="006516C7" w:rsidRPr="00627C2B" w:rsidTr="006516C7">
        <w:tc>
          <w:tcPr>
            <w:tcW w:w="9356" w:type="dxa"/>
            <w:gridSpan w:val="2"/>
          </w:tcPr>
          <w:p w:rsidR="006516C7" w:rsidRPr="00627C2B" w:rsidRDefault="006516C7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разрабатывать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применять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реализовывать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материального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процессуального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профессиональной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9E040F">
              <w:rPr>
                <w:rFonts w:ascii="Times New Roman" w:hAnsi="Times New Roman"/>
                <w:sz w:val="24"/>
              </w:rPr>
              <w:t>гот</w:t>
            </w:r>
            <w:r>
              <w:rPr>
                <w:rFonts w:ascii="Times New Roman" w:hAnsi="Times New Roman"/>
                <w:sz w:val="24"/>
              </w:rPr>
              <w:t>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выполнению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должностных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обязанностей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обеспечению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законности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правопорядка,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безопасности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личности,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общества,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государства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толковать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ПК-5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принимать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участие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проведении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экспертизы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проектов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актов,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целях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положений,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способствующих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созданию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условий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для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коррупции,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давать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заключения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консультации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</w:tbl>
    <w:p w:rsidR="006516C7" w:rsidRDefault="006516C7" w:rsidP="002760FB">
      <w:pPr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2760F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1.1.2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При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сдаче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государственного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экзамена:</w:t>
      </w:r>
    </w:p>
    <w:p w:rsidR="00095918" w:rsidRDefault="00095918" w:rsidP="002760F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516C7" w:rsidRPr="00627C2B" w:rsidTr="001710A6">
        <w:tc>
          <w:tcPr>
            <w:tcW w:w="9356" w:type="dxa"/>
            <w:gridSpan w:val="2"/>
          </w:tcPr>
          <w:p w:rsidR="006516C7" w:rsidRPr="00627C2B" w:rsidRDefault="006516C7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разрабатывать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применять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реализовывать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материального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процессуального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профессиональной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9E040F">
              <w:rPr>
                <w:rFonts w:ascii="Times New Roman" w:hAnsi="Times New Roman"/>
                <w:sz w:val="24"/>
              </w:rPr>
              <w:t>гот</w:t>
            </w:r>
            <w:r>
              <w:rPr>
                <w:rFonts w:ascii="Times New Roman" w:hAnsi="Times New Roman"/>
                <w:sz w:val="24"/>
              </w:rPr>
              <w:t>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выполнению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должностных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обязанностей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обеспечению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законности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правопорядка,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безопасности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личности,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общества,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государства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толковать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ПК-5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принимать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участие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проведении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экспертизы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проектов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актов,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целях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положений,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способствующих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созданию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условий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для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коррупции,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давать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заключения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консультации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</w:tbl>
    <w:p w:rsidR="006516C7" w:rsidRDefault="006516C7" w:rsidP="002760FB">
      <w:pPr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2760F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общепрофессиональных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основе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были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освоены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профессиональные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компетенции</w:t>
      </w:r>
    </w:p>
    <w:p w:rsidR="00095918" w:rsidRDefault="00095918" w:rsidP="002760F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80" w:type="dxa"/>
          </w:tcPr>
          <w:p w:rsidR="001710A6" w:rsidRPr="00DB6BF0" w:rsidRDefault="001710A6" w:rsidP="002760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</w:t>
            </w: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095918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ОПК-1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методологией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научно-исследовательской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ОПК-2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культурой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использованием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информационно-коммуникационных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lastRenderedPageBreak/>
              <w:t>технологий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ОПК-3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разработке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методов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применению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самостоятельной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научно-исследовательской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соблюдением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законодательства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Российской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Федерации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авторском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праве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ОПК-4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организовывать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работу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исследовательского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(или)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педагогического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коллектива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ОПК-5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преподавательской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образовательным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программам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высшего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образования</w:t>
            </w:r>
          </w:p>
        </w:tc>
      </w:tr>
    </w:tbl>
    <w:p w:rsidR="001710A6" w:rsidRDefault="001710A6" w:rsidP="002760FB">
      <w:pPr>
        <w:spacing w:before="100" w:after="100"/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2760F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1.3.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универсальных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компетенции,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подтверждающих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наличие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выпускника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общих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знаний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социального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опыта</w:t>
      </w:r>
    </w:p>
    <w:p w:rsidR="00965691" w:rsidRDefault="00965691" w:rsidP="002760FB">
      <w:pPr>
        <w:spacing w:before="100" w:after="10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1710A6" w:rsidRPr="00627C2B" w:rsidTr="001710A6">
        <w:tc>
          <w:tcPr>
            <w:tcW w:w="9356" w:type="dxa"/>
            <w:gridSpan w:val="2"/>
          </w:tcPr>
          <w:p w:rsidR="001710A6" w:rsidRPr="00627C2B" w:rsidRDefault="001710A6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УНИВЕРСАЛЬНЫЕ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27C2B"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(УК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УК-1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04646E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критическому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анализу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оценке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современных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научных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достижений,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генерированию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новых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идей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при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решении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исследовательских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практических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задач,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междисциплинарных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областях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УК-2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проектировать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осуществлять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комплексные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77958">
              <w:rPr>
                <w:rFonts w:ascii="Times New Roman" w:hAnsi="Times New Roman"/>
                <w:sz w:val="24"/>
              </w:rPr>
              <w:t>исследовании</w:t>
            </w:r>
            <w:proofErr w:type="gramEnd"/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междисциплинарные,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основе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целостного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системного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мировоззрения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использованием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знаний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истории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философии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науки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УК-3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участвовать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работе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российских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международных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исследовательских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коллективов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решению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научно-образовательных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задач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УК-4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использовать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современные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методы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технологии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коммуникации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государственном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иностранном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языках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УК-5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следовать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этическим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нормам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профессиональной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УК-6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планировать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решать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задачи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собственного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профессионального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личностного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развития</w:t>
            </w:r>
          </w:p>
        </w:tc>
      </w:tr>
    </w:tbl>
    <w:p w:rsidR="00FB3DC5" w:rsidRDefault="00FB3DC5" w:rsidP="002760FB">
      <w:pPr>
        <w:spacing w:before="100" w:after="100"/>
        <w:ind w:firstLine="567"/>
      </w:pPr>
    </w:p>
    <w:p w:rsidR="00192D78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Показатели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критерии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оценивания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</w:t>
      </w:r>
    </w:p>
    <w:p w:rsidR="0036004E" w:rsidRDefault="00192D78" w:rsidP="002760F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2.1.</w:t>
      </w:r>
      <w:r>
        <w:rPr>
          <w:rFonts w:ascii="Times New Roman" w:hAnsi="Times New Roman"/>
          <w:b/>
          <w:sz w:val="24"/>
        </w:rPr>
        <w:tab/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Научный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доклад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об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основных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результатах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подготовленной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научно-квалификационной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работы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(диссертации)</w:t>
      </w:r>
    </w:p>
    <w:p w:rsidR="00F348DC" w:rsidRDefault="00F348DC" w:rsidP="002760F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обучения и выполнения научно-квалификационной работы обучающийся должен реализовать компетенции, представленные таблице:</w:t>
      </w:r>
    </w:p>
    <w:p w:rsidR="00F348DC" w:rsidRDefault="00F348DC" w:rsidP="002760F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48DC" w:rsidRDefault="00F348DC" w:rsidP="002760F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409"/>
        <w:gridCol w:w="2263"/>
        <w:gridCol w:w="2557"/>
        <w:gridCol w:w="1248"/>
      </w:tblGrid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 xml:space="preserve">Код компетенции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lastRenderedPageBreak/>
              <w:t xml:space="preserve">Навыки решений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 практических задач, в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. в междисциплинарных областях;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новых идей при осуществлении вышеуказанных решений.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 практических задач, в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. в междисциплинарных областях;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использования новых идей при осуществлении вышеуказанных решений.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proofErr w:type="gramStart"/>
            <w:r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>
              <w:rPr>
                <w:rStyle w:val="FontStyle44"/>
                <w:spacing w:val="-20"/>
                <w:sz w:val="24"/>
                <w:szCs w:val="24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конструктивному взаимодействию в исследовательском коллективе при коммуникации на иностранном языке.</w:t>
            </w:r>
          </w:p>
          <w:p w:rsidR="00C40372" w:rsidRDefault="00C40372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навыка соблюдения этических норм в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26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Fonts w:ascii="Times New Roman" w:hAnsi="Times New Roman"/>
                <w:spacing w:val="-20"/>
              </w:rPr>
              <w:t xml:space="preserve">решению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45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C40372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 xml:space="preserve">Навыки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владения новыми методами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з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:rsidR="00C40372" w:rsidRPr="00C40372" w:rsidRDefault="00C40372" w:rsidP="002760FB">
            <w:pPr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</w:tbl>
    <w:p w:rsidR="00F348DC" w:rsidRDefault="00F348DC" w:rsidP="002760FB">
      <w:pPr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48DC" w:rsidRDefault="00F348DC" w:rsidP="002760FB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Компетенции, проверяемые при защите научно-квалификационной работы: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488"/>
        <w:gridCol w:w="1906"/>
        <w:gridCol w:w="2127"/>
        <w:gridCol w:w="1680"/>
      </w:tblGrid>
      <w:tr w:rsidR="00192D78" w:rsidRPr="00C40372" w:rsidTr="002760FB">
        <w:trPr>
          <w:trHeight w:val="75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Код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  <w:r w:rsidR="00603380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Наименование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Показатели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Критерии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Способ/средство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готовностью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организовать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работу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исследовательского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(или)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педагогического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коллектива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в</w:t>
            </w:r>
            <w:r w:rsidR="00603380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области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юриспруденции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деятельностью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преподавательской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образовательным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программам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высшего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образования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планов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лекционного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курса,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занятий,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форм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усвоения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студентами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заседании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кафедры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учебно-методических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материалов,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макета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авторского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учебника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разрабатывать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применению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разработке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применять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after="120"/>
              <w:ind w:firstLine="0"/>
              <w:contextualSpacing/>
              <w:rPr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21235" w:rsidRPr="00C40372" w:rsidRDefault="00A21235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выполнению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законности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правопорядка,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толковать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квалифицированному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принимать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участие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проведении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экспертизы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проектов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актов,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целях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выявления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положений,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способствующих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созданию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условий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коррупции,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давать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проводить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21235" w:rsidRPr="00C40372" w:rsidRDefault="00A21235" w:rsidP="002760F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проведены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21235" w:rsidRPr="00C40372" w:rsidRDefault="00A21235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проектировать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осуществлять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междисциплинарные,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lastRenderedPageBreak/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методы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государственном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1235" w:rsidRPr="00C40372" w:rsidRDefault="00A21235" w:rsidP="002760F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</w:tbl>
    <w:p w:rsidR="009D652F" w:rsidRDefault="00192D78" w:rsidP="002760FB">
      <w:pPr>
        <w:spacing w:before="240" w:after="240"/>
        <w:ind w:left="928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Государственный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экзамен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488"/>
        <w:gridCol w:w="2048"/>
        <w:gridCol w:w="2268"/>
        <w:gridCol w:w="1397"/>
      </w:tblGrid>
      <w:tr w:rsidR="009D652F" w:rsidRPr="00C40372" w:rsidTr="008B39FC">
        <w:trPr>
          <w:trHeight w:val="75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Код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  <w:r w:rsidR="00603380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Наименование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Показатели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Критерии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Способ/средство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</w:tr>
      <w:tr w:rsidR="00023BE5" w:rsidRPr="00C40372" w:rsidTr="008B39FC">
        <w:trPr>
          <w:trHeight w:val="458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методологией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использования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методологии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Pr="00C40372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023BE5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культурой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владения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методами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использования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культуры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культуры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разработке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применению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самостоятельной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соблюдением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законодательства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Федерации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авторском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праве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новыми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методами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самостоятельной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владения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аконодательством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Федерации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авторском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применения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самостоятельной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соблюдением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законодательства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Федерации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авторском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праве.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готовностью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организовать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работу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исследовательского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(или)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педагогического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коллектива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в</w:t>
            </w:r>
            <w:r w:rsidR="00603380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области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юриспруденции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деятельностью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преподавательской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образовательным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программам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высшего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образования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планов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лекционного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курса,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занятий,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форм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усвоения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студентами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заседании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кафедры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учебно-методических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материалов,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макета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авторского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учебника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разрабатывать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применению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разработке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применять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after="120"/>
              <w:ind w:firstLine="0"/>
              <w:contextualSpacing/>
              <w:rPr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8B39FC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выполнению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законности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правопорядка,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толковать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квалифицированному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принимать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участие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проведении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экспертизы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проектов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актов,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целях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выявления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положений,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способствующих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созданию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условий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коррупции,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давать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8B39FC">
            <w:pPr>
              <w:ind w:firstLine="0"/>
              <w:rPr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проводить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проведены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E3B7C" w:rsidRPr="00C40372" w:rsidRDefault="00AE3B7C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критическому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анализу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оценке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достижений,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генерированию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идей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областях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lastRenderedPageBreak/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решений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исследовательских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задач,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т.ч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областях;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идей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осуществлении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вышеуказанных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решению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lastRenderedPageBreak/>
              <w:t>исследовательских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задач,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т.ч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областях;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идей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осуществлении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вышеуказанных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решений.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проектировать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осуществлять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междисциплинарные,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участвовать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работе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международных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коллективов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научно-образовательных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участия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работе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международных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коллективов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участия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работе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международных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коллективов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научно-образовательных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конструктивному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взаимодействию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исследовательском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языке.</w:t>
            </w:r>
          </w:p>
          <w:p w:rsidR="00AE3B7C" w:rsidRPr="00C40372" w:rsidRDefault="00AE3B7C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методы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государственном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языках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следовать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этическим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соблюдения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этических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соблюдения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этических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УК-6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планировать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личностного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решений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решений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личностного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решению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личностного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</w:tbl>
    <w:p w:rsidR="00183767" w:rsidRDefault="00183767" w:rsidP="002760FB">
      <w:pPr>
        <w:spacing w:before="240" w:after="240"/>
        <w:ind w:firstLine="0"/>
        <w:rPr>
          <w:rFonts w:ascii="Times New Roman" w:hAnsi="Times New Roman"/>
          <w:b/>
          <w:sz w:val="24"/>
        </w:rPr>
      </w:pPr>
    </w:p>
    <w:p w:rsidR="00C65760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Шкалы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оценивания</w:t>
      </w:r>
    </w:p>
    <w:p w:rsidR="00C65760" w:rsidRPr="00C65760" w:rsidRDefault="00C65760" w:rsidP="002760FB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рамках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проверятся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уровень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готовности,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оценивается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следующим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критериям: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9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1465"/>
        <w:gridCol w:w="2551"/>
        <w:gridCol w:w="2095"/>
        <w:gridCol w:w="2158"/>
      </w:tblGrid>
      <w:tr w:rsidR="00C65760" w:rsidRPr="002760FB" w:rsidTr="008B39FC">
        <w:trPr>
          <w:trHeight w:val="304"/>
        </w:trPr>
        <w:tc>
          <w:tcPr>
            <w:tcW w:w="2888" w:type="dxa"/>
            <w:gridSpan w:val="2"/>
            <w:vMerge w:val="restart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Уровень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готовности</w:t>
            </w:r>
          </w:p>
        </w:tc>
        <w:tc>
          <w:tcPr>
            <w:tcW w:w="6804" w:type="dxa"/>
            <w:gridSpan w:val="3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Критерии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готовности</w:t>
            </w:r>
          </w:p>
        </w:tc>
      </w:tr>
      <w:tr w:rsidR="00C65760" w:rsidRPr="002760FB" w:rsidTr="008B39FC">
        <w:trPr>
          <w:trHeight w:val="335"/>
        </w:trPr>
        <w:tc>
          <w:tcPr>
            <w:tcW w:w="2888" w:type="dxa"/>
            <w:gridSpan w:val="2"/>
            <w:vMerge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095" w:type="dxa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158" w:type="dxa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Навыки.</w:t>
            </w:r>
          </w:p>
        </w:tc>
      </w:tr>
      <w:tr w:rsidR="00C65760" w:rsidRPr="002760FB" w:rsidTr="008B39FC">
        <w:trPr>
          <w:trHeight w:val="274"/>
        </w:trPr>
        <w:tc>
          <w:tcPr>
            <w:tcW w:w="1423" w:type="dxa"/>
          </w:tcPr>
          <w:p w:rsidR="00C65760" w:rsidRPr="002760FB" w:rsidRDefault="00C65760" w:rsidP="002760F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465" w:type="dxa"/>
          </w:tcPr>
          <w:p w:rsidR="00C65760" w:rsidRPr="002760FB" w:rsidRDefault="00C65760" w:rsidP="002760F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551" w:type="dxa"/>
          </w:tcPr>
          <w:p w:rsidR="00C65760" w:rsidRPr="002760FB" w:rsidRDefault="00C65760" w:rsidP="008B39F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методик,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методов,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технологий,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алгоритмов,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инструментария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решения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проблем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</w:t>
            </w:r>
          </w:p>
        </w:tc>
        <w:tc>
          <w:tcPr>
            <w:tcW w:w="2095" w:type="dxa"/>
          </w:tcPr>
          <w:p w:rsidR="00C65760" w:rsidRPr="002760FB" w:rsidRDefault="00C65760" w:rsidP="008B39F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логически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грамотно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выражать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свою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точку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зрения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выбранной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проблематике</w:t>
            </w:r>
          </w:p>
        </w:tc>
        <w:tc>
          <w:tcPr>
            <w:tcW w:w="2158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генерирования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новых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идей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решении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исследовательских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практических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задач</w:t>
            </w:r>
          </w:p>
        </w:tc>
      </w:tr>
      <w:tr w:rsidR="00C65760" w:rsidRPr="002760FB" w:rsidTr="008B39FC">
        <w:trPr>
          <w:trHeight w:val="2445"/>
        </w:trPr>
        <w:tc>
          <w:tcPr>
            <w:tcW w:w="1423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критическому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анализу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оценке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современных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достижений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применением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современных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технических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средств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информационных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технологи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написания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конкурсных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заявок,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заявок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2095" w:type="dxa"/>
          </w:tcPr>
          <w:p w:rsidR="00C65760" w:rsidRPr="002760FB" w:rsidRDefault="00C65760" w:rsidP="008B39F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организовывать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работу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исследовательского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или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педагогического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коллектива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</w:t>
            </w:r>
          </w:p>
        </w:tc>
        <w:tc>
          <w:tcPr>
            <w:tcW w:w="2158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методологией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научно-исследовательской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деятельности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</w:t>
            </w:r>
          </w:p>
        </w:tc>
      </w:tr>
      <w:tr w:rsidR="00C65760" w:rsidRPr="002760FB" w:rsidTr="008B39FC">
        <w:trPr>
          <w:trHeight w:val="2400"/>
        </w:trPr>
        <w:tc>
          <w:tcPr>
            <w:tcW w:w="1423" w:type="dxa"/>
            <w:vMerge w:val="restart"/>
          </w:tcPr>
          <w:p w:rsidR="00C65760" w:rsidRPr="002760FB" w:rsidRDefault="00C65760" w:rsidP="002760F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Пороговый</w:t>
            </w: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65760" w:rsidRPr="002760FB" w:rsidRDefault="00C65760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Допустимый</w:t>
            </w: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теоретических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методологических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основ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развития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правовых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систем;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фактологического</w:t>
            </w:r>
            <w:proofErr w:type="spellEnd"/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материала</w:t>
            </w: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формулировать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цели,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ставить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конкретные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задачи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фундаментальных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прикладных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областях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конституционного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2158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осуществления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комплексных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исследований,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том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числе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междисциплинарных,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основе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целостного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системного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подхода</w:t>
            </w:r>
          </w:p>
        </w:tc>
      </w:tr>
      <w:tr w:rsidR="00C65760" w:rsidRPr="002760FB" w:rsidTr="000D6CF0">
        <w:trPr>
          <w:trHeight w:val="2266"/>
        </w:trPr>
        <w:tc>
          <w:tcPr>
            <w:tcW w:w="1423" w:type="dxa"/>
            <w:vMerge/>
          </w:tcPr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65760" w:rsidRPr="002760FB" w:rsidRDefault="00C65760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Критический</w:t>
            </w: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концептуальных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основ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терминологии,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фундаментальных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правовых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095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самостоятельно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осуществлять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научно-исследовательскую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деятельность,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анализа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современных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достижений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2158" w:type="dxa"/>
          </w:tcPr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C65760" w:rsidRP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«отлично»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основным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опросам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дополнительные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опросы;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использует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терминологию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устном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ответе,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инфокоммуникационные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технологии.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760" w:rsidRP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«хорошо»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существенную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существенную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опросов;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использует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терминологию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устном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ответе;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показал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инфокоммуникационные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технологии.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760" w:rsidRP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существенную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активно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применять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эти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решении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нестандартных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задач.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«неудовлетворительно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остальных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случаях.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39FC" w:rsidRDefault="008B39FC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D78" w:rsidRDefault="00192D78" w:rsidP="002760F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Типовые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контрольные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задания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или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материалы,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необходимые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для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оценки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результатов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освоения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образовательной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4.1.Требования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</w:t>
      </w:r>
      <w:r w:rsidRPr="00183767">
        <w:rPr>
          <w:rFonts w:ascii="Times New Roman" w:hAnsi="Times New Roman" w:cs="Times New Roman"/>
          <w:sz w:val="24"/>
          <w:szCs w:val="24"/>
        </w:rPr>
        <w:t>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(далее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подготовленной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относится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формам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аттестации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обучающихся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программам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подготовки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педагогических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кадров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аспирантуре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является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заключительным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этапом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аттестации.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соответствовать: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области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деятельности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объектам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деятельности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основным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видам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деятельности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аспиранта.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совпадать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утвержденной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свидетельствовать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готовности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отражать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следующие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аспекты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работы: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актуальность,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научную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новизну,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теоретическое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прикладное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значение;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объект,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предмет,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цель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задачи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материал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способы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документирования;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теоретическую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базу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методологию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структуру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работы;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основные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результаты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положения,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выносимые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защиту;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апробацию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результатов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написана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самостоятельно,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обладать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внутренним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единством,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новые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положения,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выдвигаемые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публичной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защиты.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Предложенные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аргументированы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оценены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сравнению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другими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известными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решениями.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задачи,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существенное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отрасли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знаний,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либо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обоснованные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технические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разработки,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существенное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развития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науки.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работе,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прикладной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приводиться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практическом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использовании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полученных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автором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результатов,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работе,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теоретический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использованию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выводов.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опубликованы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рецензируемых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изданиях,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определенных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Перечне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рецензируемых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изданий,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согласно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Положению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присуждении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степеней,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утвержденному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постановлением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Правительства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Российской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Федерации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24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сентября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2013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№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842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«О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порядке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присуждения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степеней»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менее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статей).</w:t>
      </w:r>
    </w:p>
    <w:p w:rsidR="00183767" w:rsidRPr="00183767" w:rsidRDefault="00183767" w:rsidP="002760FB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приему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научно-квалификационной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открытом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приему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767">
        <w:rPr>
          <w:rFonts w:ascii="Times New Roman" w:hAnsi="Times New Roman" w:cs="Times New Roman"/>
          <w:sz w:val="24"/>
          <w:szCs w:val="24"/>
        </w:rPr>
        <w:t>приёму</w:t>
      </w:r>
      <w:proofErr w:type="spellEnd"/>
      <w:proofErr w:type="gram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формируется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профессорско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преподавательского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работников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выпускающей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кафедры.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также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могут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введены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представители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работодателей,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ведущие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других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приему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действуют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одного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календарного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года.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Процедура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допускаются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аспиранты,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успешно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сдавшие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подготовившие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менее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две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недели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предоставлена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(эксперту)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выпускающей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кафедре.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двух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недель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хранится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чтобы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могли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оз</w:t>
      </w:r>
      <w:r w:rsidR="00157521">
        <w:rPr>
          <w:rFonts w:ascii="Times New Roman" w:hAnsi="Times New Roman" w:cs="Times New Roman"/>
          <w:sz w:val="24"/>
          <w:szCs w:val="24"/>
        </w:rPr>
        <w:t>накомиться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все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же</w:t>
      </w:r>
      <w:r w:rsidRPr="00183767">
        <w:rPr>
          <w:rFonts w:ascii="Times New Roman" w:hAnsi="Times New Roman" w:cs="Times New Roman"/>
          <w:sz w:val="24"/>
          <w:szCs w:val="24"/>
        </w:rPr>
        <w:t>лающие.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качестве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(эксперта)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может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выступать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ведущий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сотрудник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Высшей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школы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перевода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(факультета),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звание.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(эксперта)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назначает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заведующий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выпускающей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руководителя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обязан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ознакомиться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текстом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2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дня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предоставляет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развернутый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письменный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отзыв,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котором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всесторонне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характеризует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уровень,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структуру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обоснованность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выводов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самостоятельности,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отмечает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положительные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отрицательные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стороны,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дает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свои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устра</w:t>
      </w:r>
      <w:r w:rsidRPr="00183767">
        <w:rPr>
          <w:rFonts w:ascii="Times New Roman" w:hAnsi="Times New Roman" w:cs="Times New Roman"/>
          <w:sz w:val="24"/>
          <w:szCs w:val="24"/>
        </w:rPr>
        <w:t>нению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недостатков.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заключительной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части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отзыва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системе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(см.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9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ниже)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проводится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открытом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участием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менее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двух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третей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состава,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обязательном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присутствии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председателя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заместителя.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обсуждение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проводятся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следующем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порядке: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(15</w:t>
      </w:r>
      <w:r w:rsidR="00157521" w:rsidRPr="00157521">
        <w:rPr>
          <w:rFonts w:ascii="Lucida Grande" w:hAnsi="Lucida Grande" w:cs="Lucida Grande"/>
          <w:sz w:val="24"/>
          <w:szCs w:val="24"/>
        </w:rPr>
        <w:t>-</w:t>
      </w:r>
      <w:r w:rsidRPr="00157521">
        <w:rPr>
          <w:rFonts w:ascii="Times New Roman" w:hAnsi="Times New Roman" w:cs="Times New Roman"/>
          <w:sz w:val="24"/>
          <w:szCs w:val="24"/>
        </w:rPr>
        <w:t>20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минут);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вопросы;</w:t>
      </w:r>
    </w:p>
    <w:p w:rsidR="00183767" w:rsidRPr="00D37938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7938">
        <w:rPr>
          <w:rFonts w:ascii="Times New Roman" w:hAnsi="Times New Roman" w:cs="Times New Roman"/>
          <w:sz w:val="24"/>
          <w:szCs w:val="24"/>
        </w:rPr>
        <w:t>выступление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научного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руководителя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с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краткой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характеристикой</w:t>
      </w:r>
      <w:r w:rsid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lastRenderedPageBreak/>
        <w:t>выступление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рецензента;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замечания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рецензента;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свободная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дискуссия;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заключительное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слово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вынесение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объявление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решения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ГЭК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соответствии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требованиям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диссертации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(см.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п.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9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ниже);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случае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научно</w:t>
      </w:r>
      <w:r w:rsidRPr="00157521">
        <w:rPr>
          <w:rFonts w:ascii="Cambria Math" w:hAnsi="Cambria Math" w:cs="Cambria Math"/>
          <w:sz w:val="24"/>
          <w:szCs w:val="24"/>
        </w:rPr>
        <w:t>‐</w:t>
      </w:r>
      <w:r w:rsidRPr="00157521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научным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руководителем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кандидатур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оппонентов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возможной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ведущей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организации,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обсуждение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утверждение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ГЭК.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7.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требованиям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принимается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простым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большинством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голосов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участвующих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равном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числе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голосов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председатель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случае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отсутствия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председателя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заместитель)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обладает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правом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решающего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голоса.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8.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каждого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представившего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заполняется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183767">
        <w:rPr>
          <w:rFonts w:ascii="Times New Roman" w:hAnsi="Times New Roman" w:cs="Times New Roman"/>
          <w:sz w:val="24"/>
          <w:szCs w:val="24"/>
        </w:rPr>
        <w:t>токол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вносятся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мнения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работе,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уровне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компетенций,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знаниях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умениях,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выявленных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</w:t>
      </w:r>
      <w:r w:rsidRPr="00183767">
        <w:rPr>
          <w:rFonts w:ascii="Times New Roman" w:hAnsi="Times New Roman" w:cs="Times New Roman"/>
          <w:sz w:val="24"/>
          <w:szCs w:val="24"/>
        </w:rPr>
        <w:t>стации,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перечень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заданных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вопросов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характеристика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ответов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них,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также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вносится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особых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мнений.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подписывается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членами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83767">
        <w:rPr>
          <w:rFonts w:ascii="Times New Roman" w:hAnsi="Times New Roman" w:cs="Times New Roman"/>
          <w:sz w:val="24"/>
          <w:szCs w:val="24"/>
        </w:rPr>
        <w:t>седании.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9.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вносится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одна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следующих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оценок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аспиранта: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«отлично»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полностью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требованиям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защите);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«хорошо»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высказанных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замечаний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без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НД);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«удовлетворительно»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существенной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доработке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повторному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НД);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«неудовлетворительно»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требованиям).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10.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«удовлетворительно»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принимает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повторном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случае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устанавливается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срок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устранения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замечаний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повторного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Если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</w:t>
      </w:r>
      <w:r w:rsidRPr="00183767">
        <w:rPr>
          <w:rFonts w:ascii="Times New Roman" w:hAnsi="Times New Roman" w:cs="Times New Roman"/>
          <w:sz w:val="24"/>
          <w:szCs w:val="24"/>
        </w:rPr>
        <w:t>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выше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критериев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оценен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большинством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ГЭК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</w:t>
      </w:r>
      <w:r w:rsidRPr="00183767">
        <w:rPr>
          <w:rFonts w:ascii="Times New Roman" w:hAnsi="Times New Roman" w:cs="Times New Roman"/>
          <w:sz w:val="24"/>
          <w:szCs w:val="24"/>
        </w:rPr>
        <w:t>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Затем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структурами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оформляется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заключение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соискание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кандидата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наук.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</w:t>
      </w:r>
      <w:r>
        <w:rPr>
          <w:rFonts w:ascii="Times New Roman" w:hAnsi="Times New Roman" w:cs="Times New Roman"/>
          <w:sz w:val="24"/>
          <w:szCs w:val="24"/>
        </w:rPr>
        <w:t>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</w:t>
      </w:r>
      <w:r w:rsidRPr="00183767">
        <w:rPr>
          <w:rFonts w:ascii="Times New Roman" w:hAnsi="Times New Roman" w:cs="Times New Roman"/>
          <w:sz w:val="24"/>
          <w:szCs w:val="24"/>
        </w:rPr>
        <w:t>ранту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непосредственно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оформляется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протоколе.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после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аттестации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хранятся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личных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делах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аспирантов.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14.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комплексной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</w:t>
      </w:r>
      <w:r w:rsidRPr="00183767">
        <w:rPr>
          <w:rFonts w:ascii="Times New Roman" w:hAnsi="Times New Roman" w:cs="Times New Roman"/>
          <w:sz w:val="24"/>
          <w:szCs w:val="24"/>
        </w:rPr>
        <w:t>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результирующей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(суммарной)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Если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одной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позиции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сформи</w:t>
      </w:r>
      <w:r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</w:t>
      </w:r>
      <w:r w:rsidRPr="00183767">
        <w:rPr>
          <w:rFonts w:ascii="Times New Roman" w:hAnsi="Times New Roman" w:cs="Times New Roman"/>
          <w:sz w:val="24"/>
          <w:szCs w:val="24"/>
        </w:rPr>
        <w:t>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«0»,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вправе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рекомендовать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НКР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совете.</w:t>
      </w:r>
    </w:p>
    <w:p w:rsidR="00183767" w:rsidRDefault="00183767" w:rsidP="002760FB">
      <w:pPr>
        <w:spacing w:before="100" w:after="100"/>
        <w:ind w:firstLine="567"/>
      </w:pPr>
    </w:p>
    <w:p w:rsidR="002A1523" w:rsidRDefault="00192D78" w:rsidP="002760F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вопросов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государственного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экзамена</w:t>
      </w:r>
      <w:r w:rsidR="00603380">
        <w:rPr>
          <w:rFonts w:ascii="Times New Roman" w:hAnsi="Times New Roman"/>
          <w:b/>
          <w:sz w:val="24"/>
        </w:rPr>
        <w:t xml:space="preserve"> </w:t>
      </w:r>
    </w:p>
    <w:p w:rsidR="003E067B" w:rsidRPr="000E63B0" w:rsidRDefault="003E067B" w:rsidP="002760FB">
      <w:pPr>
        <w:rPr>
          <w:rFonts w:ascii="Times New Roman" w:hAnsi="Times New Roman" w:cs="Times New Roman"/>
          <w:b/>
          <w:color w:val="000000"/>
        </w:rPr>
      </w:pPr>
      <w:r w:rsidRPr="000E63B0">
        <w:rPr>
          <w:rFonts w:ascii="Times New Roman" w:hAnsi="Times New Roman" w:cs="Times New Roman"/>
          <w:b/>
          <w:color w:val="000000"/>
        </w:rPr>
        <w:t>Вопросы</w:t>
      </w:r>
      <w:r w:rsidR="00A6068B">
        <w:rPr>
          <w:rFonts w:ascii="Times New Roman" w:hAnsi="Times New Roman" w:cs="Times New Roman"/>
          <w:b/>
          <w:color w:val="000000"/>
        </w:rPr>
        <w:t xml:space="preserve"> </w:t>
      </w:r>
      <w:r w:rsidRPr="000E63B0">
        <w:rPr>
          <w:rFonts w:ascii="Times New Roman" w:hAnsi="Times New Roman" w:cs="Times New Roman"/>
          <w:b/>
          <w:color w:val="000000"/>
        </w:rPr>
        <w:t>к</w:t>
      </w:r>
      <w:r w:rsidR="00A6068B">
        <w:rPr>
          <w:rFonts w:ascii="Times New Roman" w:hAnsi="Times New Roman" w:cs="Times New Roman"/>
          <w:b/>
          <w:color w:val="000000"/>
        </w:rPr>
        <w:t xml:space="preserve"> </w:t>
      </w:r>
      <w:r w:rsidRPr="000E63B0">
        <w:rPr>
          <w:rFonts w:ascii="Times New Roman" w:hAnsi="Times New Roman" w:cs="Times New Roman"/>
          <w:b/>
          <w:color w:val="000000"/>
        </w:rPr>
        <w:t>экзамену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Соотношение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понятий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«конституционное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право»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«государственное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право».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Проблема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предмета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метода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регулирования.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lastRenderedPageBreak/>
        <w:t>Система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права.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Современный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конституционализм: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основные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подходы,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6033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становления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Основы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строя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общая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характеристика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реализации.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ответственность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прямого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действия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Законодательные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исполнительные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органы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власти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Санкт-Петербурге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Ленинградской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Суверенитет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народа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Формы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реализации.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личности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понятие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элементы.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основы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политических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партий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A6068B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политических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принципы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федерализма.</w:t>
      </w:r>
    </w:p>
    <w:p w:rsidR="00707322" w:rsidRPr="00975604" w:rsidRDefault="00A6068B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Институт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Уполномоченного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правам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субъекте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Понятие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социальная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ценность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строя.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единства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системы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власти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Система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разграничения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власти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территориального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устройства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Национальный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государственный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суверенитет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система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развития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избирательной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системы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(уставные)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суды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субъектов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Законодательный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процесс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формы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регулирования.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равноправия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самоопределения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народов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Совет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регулирования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статуса.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Развитие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Суда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Формы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проверки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нормативных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актов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механизм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обеспечения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свобод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человека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развития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института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гражданства.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Правовое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положение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иностранных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лиц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без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Правовой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вынужденных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переселенцев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беженцев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Этнический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суверенитет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личности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основы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обеспечения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личности,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общества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светского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религиозного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объединения.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обеспечение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принципа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идеологического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многообразия.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действующем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законодательстве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Европейской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Хартии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местному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самоуправлению: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75604">
        <w:rPr>
          <w:rFonts w:ascii="Times New Roman" w:hAnsi="Times New Roman"/>
          <w:sz w:val="24"/>
          <w:szCs w:val="24"/>
        </w:rPr>
        <w:t>ходство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различие.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Территориальный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коллектив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как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субъект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субъект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публичной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власти.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Виды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состав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Принципы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определения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изменения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Особенности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территориальной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городах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федерального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значения,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закрытых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административно-территориальных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образованиях,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604">
        <w:rPr>
          <w:rFonts w:ascii="Times New Roman" w:hAnsi="Times New Roman"/>
          <w:sz w:val="24"/>
          <w:szCs w:val="24"/>
        </w:rPr>
        <w:t>наукоградах</w:t>
      </w:r>
      <w:proofErr w:type="spellEnd"/>
      <w:r w:rsidRPr="00975604">
        <w:rPr>
          <w:rFonts w:ascii="Times New Roman" w:hAnsi="Times New Roman"/>
          <w:sz w:val="24"/>
          <w:szCs w:val="24"/>
        </w:rPr>
        <w:t>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приграничных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территориях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lastRenderedPageBreak/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содержание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компетенции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Разграничение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компетенции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взаимодействие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между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органами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государственной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власти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Правовое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осуществление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органами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отдельных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государственных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полномочий.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Понятие,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содержание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финансов.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Расчет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бюджетной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обеспеченности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образований.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Структура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органов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понятие,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варианты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структуры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ограничения,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связанные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возможностью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выбора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структуры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органов.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формирования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представительного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рубежом.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Цели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организационно-правовые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формы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межмуниципального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сотрудничества.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Виды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режим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объединений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образований,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коммерческие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некоммерческие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образований.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Контроль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системе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статус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полномочия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контрольного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Муниципальная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служба: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принципы.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службы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Федерации.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Участие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населения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осуществлении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формы,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Принцип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самостоятельности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603380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его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реализация</w:t>
      </w:r>
      <w:r w:rsidR="00603380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законодательстве.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Обеспечение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интересов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населения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как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принцип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осуществления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Правовые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акты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юридическая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природа,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виды,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пределы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действия,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принятия,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вступление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силу.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Возможности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применения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зарубежного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опыта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Федерации.</w:t>
      </w:r>
    </w:p>
    <w:p w:rsidR="00192D78" w:rsidRDefault="00192D78" w:rsidP="002760FB"/>
    <w:p w:rsidR="00192D78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Методические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материалы</w:t>
      </w:r>
    </w:p>
    <w:p w:rsidR="00192D78" w:rsidRDefault="005B57BC" w:rsidP="002760FB">
      <w:pPr>
        <w:rPr>
          <w:rFonts w:ascii="Times New Roman" w:hAnsi="Times New Roman" w:cs="Times New Roman"/>
          <w:b/>
        </w:rPr>
      </w:pPr>
      <w:r w:rsidRPr="006A6981">
        <w:rPr>
          <w:rFonts w:ascii="Times New Roman" w:hAnsi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подготовке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итоговой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аттестации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следует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обратиться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литературе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библиотеки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Северо-Западного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института.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Вместе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тем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изучении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дисциплины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нельзя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ограничиваться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только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лекционным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материалом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учебным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материалом,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поскольку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для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системного,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комплексного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актуального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представления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функционировании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конституционно-правовых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норм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изучение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Конституционного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суда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Верховного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суда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иных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актов.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Также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для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качественной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семинарским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занятиям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самостоятельного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юридического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мышления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основе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анализа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только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учебной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литературы,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представляется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необходимым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обращение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текстам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нормативно-правовых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том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числе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Федеральных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конституционных,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Федеральных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законов,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законов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органов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самоуправления.</w:t>
      </w:r>
      <w:bookmarkEnd w:id="1"/>
      <w:bookmarkEnd w:id="2"/>
      <w:proofErr w:type="gramEnd"/>
    </w:p>
    <w:sectPr w:rsidR="00192D78" w:rsidSect="00831CD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E2" w:rsidRDefault="001844E2" w:rsidP="00831CD2">
      <w:r>
        <w:separator/>
      </w:r>
    </w:p>
  </w:endnote>
  <w:endnote w:type="continuationSeparator" w:id="0">
    <w:p w:rsidR="001844E2" w:rsidRDefault="001844E2" w:rsidP="0083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43642"/>
      <w:docPartObj>
        <w:docPartGallery w:val="Page Numbers (Bottom of Page)"/>
        <w:docPartUnique/>
      </w:docPartObj>
    </w:sdtPr>
    <w:sdtEndPr/>
    <w:sdtContent>
      <w:p w:rsidR="00831CD2" w:rsidRDefault="00831C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18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E2" w:rsidRDefault="001844E2" w:rsidP="00831CD2">
      <w:r>
        <w:separator/>
      </w:r>
    </w:p>
  </w:footnote>
  <w:footnote w:type="continuationSeparator" w:id="0">
    <w:p w:rsidR="001844E2" w:rsidRDefault="001844E2" w:rsidP="0083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8A0"/>
    <w:multiLevelType w:val="hybridMultilevel"/>
    <w:tmpl w:val="6CE026A4"/>
    <w:lvl w:ilvl="0" w:tplc="8D9E599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F06EB0"/>
    <w:multiLevelType w:val="hybridMultilevel"/>
    <w:tmpl w:val="2EF251BA"/>
    <w:lvl w:ilvl="0" w:tplc="FCE0C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480E"/>
    <w:rsid w:val="00023BE5"/>
    <w:rsid w:val="00026963"/>
    <w:rsid w:val="00027B23"/>
    <w:rsid w:val="00030C01"/>
    <w:rsid w:val="00037B53"/>
    <w:rsid w:val="00051AFC"/>
    <w:rsid w:val="00054937"/>
    <w:rsid w:val="000709FE"/>
    <w:rsid w:val="000824CF"/>
    <w:rsid w:val="00085734"/>
    <w:rsid w:val="000951D8"/>
    <w:rsid w:val="00095918"/>
    <w:rsid w:val="000A0279"/>
    <w:rsid w:val="000B0D9B"/>
    <w:rsid w:val="000B13F6"/>
    <w:rsid w:val="000B49B0"/>
    <w:rsid w:val="000B5335"/>
    <w:rsid w:val="000B7B14"/>
    <w:rsid w:val="000C1BD7"/>
    <w:rsid w:val="000C7C80"/>
    <w:rsid w:val="000D5F14"/>
    <w:rsid w:val="000D6B9A"/>
    <w:rsid w:val="000D6CF0"/>
    <w:rsid w:val="000E6F07"/>
    <w:rsid w:val="00102E2D"/>
    <w:rsid w:val="001055EB"/>
    <w:rsid w:val="00117970"/>
    <w:rsid w:val="001214FD"/>
    <w:rsid w:val="00121C06"/>
    <w:rsid w:val="001244E4"/>
    <w:rsid w:val="00125107"/>
    <w:rsid w:val="00126B0D"/>
    <w:rsid w:val="0013028A"/>
    <w:rsid w:val="001379C0"/>
    <w:rsid w:val="0014158B"/>
    <w:rsid w:val="00141E62"/>
    <w:rsid w:val="001436B4"/>
    <w:rsid w:val="00147371"/>
    <w:rsid w:val="001535B9"/>
    <w:rsid w:val="00157521"/>
    <w:rsid w:val="00160834"/>
    <w:rsid w:val="00160B2B"/>
    <w:rsid w:val="001627C3"/>
    <w:rsid w:val="00166E44"/>
    <w:rsid w:val="001672CB"/>
    <w:rsid w:val="001710A6"/>
    <w:rsid w:val="00183767"/>
    <w:rsid w:val="001844E2"/>
    <w:rsid w:val="00191046"/>
    <w:rsid w:val="00192D78"/>
    <w:rsid w:val="00192FAA"/>
    <w:rsid w:val="00193BE5"/>
    <w:rsid w:val="001A617B"/>
    <w:rsid w:val="001A7E6A"/>
    <w:rsid w:val="001B0F33"/>
    <w:rsid w:val="001C4880"/>
    <w:rsid w:val="001C7507"/>
    <w:rsid w:val="001D2194"/>
    <w:rsid w:val="001E4199"/>
    <w:rsid w:val="001F7776"/>
    <w:rsid w:val="00207EC6"/>
    <w:rsid w:val="00212883"/>
    <w:rsid w:val="00222C15"/>
    <w:rsid w:val="0022511E"/>
    <w:rsid w:val="00240297"/>
    <w:rsid w:val="00241A11"/>
    <w:rsid w:val="00244A4D"/>
    <w:rsid w:val="0025177A"/>
    <w:rsid w:val="002568E2"/>
    <w:rsid w:val="0026254E"/>
    <w:rsid w:val="00270D9E"/>
    <w:rsid w:val="002760FB"/>
    <w:rsid w:val="00281658"/>
    <w:rsid w:val="00281D86"/>
    <w:rsid w:val="00284A46"/>
    <w:rsid w:val="00285B3F"/>
    <w:rsid w:val="00294954"/>
    <w:rsid w:val="002953BA"/>
    <w:rsid w:val="002974C1"/>
    <w:rsid w:val="002A1523"/>
    <w:rsid w:val="002D7B2F"/>
    <w:rsid w:val="002E137B"/>
    <w:rsid w:val="002E48C8"/>
    <w:rsid w:val="002E7403"/>
    <w:rsid w:val="002F6AF7"/>
    <w:rsid w:val="00300FAD"/>
    <w:rsid w:val="00306268"/>
    <w:rsid w:val="0031661A"/>
    <w:rsid w:val="003304FD"/>
    <w:rsid w:val="00332B23"/>
    <w:rsid w:val="00334D84"/>
    <w:rsid w:val="00335F84"/>
    <w:rsid w:val="003365F8"/>
    <w:rsid w:val="00344053"/>
    <w:rsid w:val="0035318B"/>
    <w:rsid w:val="0036004E"/>
    <w:rsid w:val="00360DDD"/>
    <w:rsid w:val="00377E87"/>
    <w:rsid w:val="0038295A"/>
    <w:rsid w:val="003937FB"/>
    <w:rsid w:val="003974AD"/>
    <w:rsid w:val="003A2D08"/>
    <w:rsid w:val="003A3A15"/>
    <w:rsid w:val="003A5A7C"/>
    <w:rsid w:val="003B5FC7"/>
    <w:rsid w:val="003B6F3A"/>
    <w:rsid w:val="003C1A7C"/>
    <w:rsid w:val="003D5154"/>
    <w:rsid w:val="003E067B"/>
    <w:rsid w:val="003E0A5F"/>
    <w:rsid w:val="003E5A7C"/>
    <w:rsid w:val="0041788C"/>
    <w:rsid w:val="00422B92"/>
    <w:rsid w:val="004243DD"/>
    <w:rsid w:val="00427B86"/>
    <w:rsid w:val="00443E67"/>
    <w:rsid w:val="00456DAC"/>
    <w:rsid w:val="00457B77"/>
    <w:rsid w:val="00470CCF"/>
    <w:rsid w:val="00484A2A"/>
    <w:rsid w:val="00485CD8"/>
    <w:rsid w:val="004938A7"/>
    <w:rsid w:val="004A0E5F"/>
    <w:rsid w:val="004A2226"/>
    <w:rsid w:val="004A25F2"/>
    <w:rsid w:val="004A377C"/>
    <w:rsid w:val="004A4733"/>
    <w:rsid w:val="004A7ACA"/>
    <w:rsid w:val="004B5478"/>
    <w:rsid w:val="004C1D24"/>
    <w:rsid w:val="004E3DF1"/>
    <w:rsid w:val="00512F94"/>
    <w:rsid w:val="005247C3"/>
    <w:rsid w:val="00527109"/>
    <w:rsid w:val="00534A32"/>
    <w:rsid w:val="00534BCE"/>
    <w:rsid w:val="005575D8"/>
    <w:rsid w:val="0057358C"/>
    <w:rsid w:val="00577D03"/>
    <w:rsid w:val="00582D62"/>
    <w:rsid w:val="00582E37"/>
    <w:rsid w:val="00590E04"/>
    <w:rsid w:val="00596856"/>
    <w:rsid w:val="005A5C35"/>
    <w:rsid w:val="005B2B89"/>
    <w:rsid w:val="005B57BC"/>
    <w:rsid w:val="005B6CD7"/>
    <w:rsid w:val="005C0872"/>
    <w:rsid w:val="005C4797"/>
    <w:rsid w:val="005C7DD6"/>
    <w:rsid w:val="005D0387"/>
    <w:rsid w:val="005D63CA"/>
    <w:rsid w:val="005E538B"/>
    <w:rsid w:val="005F0325"/>
    <w:rsid w:val="005F28F7"/>
    <w:rsid w:val="005F2FC8"/>
    <w:rsid w:val="005F75B2"/>
    <w:rsid w:val="00603380"/>
    <w:rsid w:val="00603C4F"/>
    <w:rsid w:val="00606CB0"/>
    <w:rsid w:val="006276ED"/>
    <w:rsid w:val="006312A0"/>
    <w:rsid w:val="00635CE0"/>
    <w:rsid w:val="0064027A"/>
    <w:rsid w:val="006414D7"/>
    <w:rsid w:val="00645980"/>
    <w:rsid w:val="006516C7"/>
    <w:rsid w:val="00665B96"/>
    <w:rsid w:val="00675F66"/>
    <w:rsid w:val="0068056A"/>
    <w:rsid w:val="0068201B"/>
    <w:rsid w:val="00682EBA"/>
    <w:rsid w:val="00683A63"/>
    <w:rsid w:val="00684247"/>
    <w:rsid w:val="00693FA6"/>
    <w:rsid w:val="0069597F"/>
    <w:rsid w:val="00695BB3"/>
    <w:rsid w:val="006A0075"/>
    <w:rsid w:val="006A2076"/>
    <w:rsid w:val="006A241D"/>
    <w:rsid w:val="006E4502"/>
    <w:rsid w:val="00707322"/>
    <w:rsid w:val="00707BA2"/>
    <w:rsid w:val="00716B1E"/>
    <w:rsid w:val="007200E2"/>
    <w:rsid w:val="0072403C"/>
    <w:rsid w:val="00726776"/>
    <w:rsid w:val="00732A22"/>
    <w:rsid w:val="0073514D"/>
    <w:rsid w:val="007414D9"/>
    <w:rsid w:val="00743FEA"/>
    <w:rsid w:val="00746E43"/>
    <w:rsid w:val="00752DDD"/>
    <w:rsid w:val="00757CAD"/>
    <w:rsid w:val="00757FFC"/>
    <w:rsid w:val="00760BAC"/>
    <w:rsid w:val="00786312"/>
    <w:rsid w:val="007904F4"/>
    <w:rsid w:val="00790CFB"/>
    <w:rsid w:val="00795DE4"/>
    <w:rsid w:val="007A29DD"/>
    <w:rsid w:val="007C1795"/>
    <w:rsid w:val="007C1883"/>
    <w:rsid w:val="007C2176"/>
    <w:rsid w:val="007D3666"/>
    <w:rsid w:val="007E57AB"/>
    <w:rsid w:val="007F3D7B"/>
    <w:rsid w:val="008004AB"/>
    <w:rsid w:val="00800884"/>
    <w:rsid w:val="00802B09"/>
    <w:rsid w:val="008046FA"/>
    <w:rsid w:val="00806D3C"/>
    <w:rsid w:val="00812E73"/>
    <w:rsid w:val="008203F4"/>
    <w:rsid w:val="00821392"/>
    <w:rsid w:val="00831CD2"/>
    <w:rsid w:val="00832FF3"/>
    <w:rsid w:val="00836B71"/>
    <w:rsid w:val="00843893"/>
    <w:rsid w:val="008461D8"/>
    <w:rsid w:val="00850684"/>
    <w:rsid w:val="00855B9C"/>
    <w:rsid w:val="008656CF"/>
    <w:rsid w:val="00873FCE"/>
    <w:rsid w:val="008755D5"/>
    <w:rsid w:val="00884662"/>
    <w:rsid w:val="008914FC"/>
    <w:rsid w:val="00896545"/>
    <w:rsid w:val="008B260B"/>
    <w:rsid w:val="008B3264"/>
    <w:rsid w:val="008B39FC"/>
    <w:rsid w:val="008D29E3"/>
    <w:rsid w:val="008D3678"/>
    <w:rsid w:val="008E6EBF"/>
    <w:rsid w:val="008F2078"/>
    <w:rsid w:val="008F30C3"/>
    <w:rsid w:val="008F3452"/>
    <w:rsid w:val="008F6495"/>
    <w:rsid w:val="0090742F"/>
    <w:rsid w:val="00912AC4"/>
    <w:rsid w:val="0091429C"/>
    <w:rsid w:val="00915AB3"/>
    <w:rsid w:val="00922DBB"/>
    <w:rsid w:val="00927C81"/>
    <w:rsid w:val="00930145"/>
    <w:rsid w:val="00941A2D"/>
    <w:rsid w:val="009421DD"/>
    <w:rsid w:val="00943E58"/>
    <w:rsid w:val="00965691"/>
    <w:rsid w:val="0097796D"/>
    <w:rsid w:val="00982B6D"/>
    <w:rsid w:val="00984C42"/>
    <w:rsid w:val="009870BD"/>
    <w:rsid w:val="00987CD8"/>
    <w:rsid w:val="00993D88"/>
    <w:rsid w:val="00996B8A"/>
    <w:rsid w:val="009A00D5"/>
    <w:rsid w:val="009A0578"/>
    <w:rsid w:val="009A3EAB"/>
    <w:rsid w:val="009A5061"/>
    <w:rsid w:val="009B308E"/>
    <w:rsid w:val="009B7A78"/>
    <w:rsid w:val="009C073F"/>
    <w:rsid w:val="009C0FA5"/>
    <w:rsid w:val="009C2A48"/>
    <w:rsid w:val="009D078B"/>
    <w:rsid w:val="009D58E6"/>
    <w:rsid w:val="009D652F"/>
    <w:rsid w:val="009D6BCC"/>
    <w:rsid w:val="009E1107"/>
    <w:rsid w:val="009E66D1"/>
    <w:rsid w:val="009F0971"/>
    <w:rsid w:val="009F182A"/>
    <w:rsid w:val="00A00F7B"/>
    <w:rsid w:val="00A12F6B"/>
    <w:rsid w:val="00A21235"/>
    <w:rsid w:val="00A221E5"/>
    <w:rsid w:val="00A25D08"/>
    <w:rsid w:val="00A33AC6"/>
    <w:rsid w:val="00A50BB7"/>
    <w:rsid w:val="00A5693A"/>
    <w:rsid w:val="00A56AC6"/>
    <w:rsid w:val="00A56C42"/>
    <w:rsid w:val="00A6068B"/>
    <w:rsid w:val="00A65B90"/>
    <w:rsid w:val="00A71767"/>
    <w:rsid w:val="00A72204"/>
    <w:rsid w:val="00A7346B"/>
    <w:rsid w:val="00A87351"/>
    <w:rsid w:val="00A95651"/>
    <w:rsid w:val="00AC05AD"/>
    <w:rsid w:val="00AC10FA"/>
    <w:rsid w:val="00AC7CDA"/>
    <w:rsid w:val="00AD137A"/>
    <w:rsid w:val="00AD7C08"/>
    <w:rsid w:val="00AE3B7C"/>
    <w:rsid w:val="00AE4806"/>
    <w:rsid w:val="00AE6AA9"/>
    <w:rsid w:val="00AF32F4"/>
    <w:rsid w:val="00AF5858"/>
    <w:rsid w:val="00B04786"/>
    <w:rsid w:val="00B05CFA"/>
    <w:rsid w:val="00B0651F"/>
    <w:rsid w:val="00B16CAF"/>
    <w:rsid w:val="00B33356"/>
    <w:rsid w:val="00B36310"/>
    <w:rsid w:val="00B43C2B"/>
    <w:rsid w:val="00B4681D"/>
    <w:rsid w:val="00B47A04"/>
    <w:rsid w:val="00B502FD"/>
    <w:rsid w:val="00B51890"/>
    <w:rsid w:val="00B617F1"/>
    <w:rsid w:val="00B67B81"/>
    <w:rsid w:val="00B943DE"/>
    <w:rsid w:val="00BA010B"/>
    <w:rsid w:val="00BA6CD4"/>
    <w:rsid w:val="00BB07A3"/>
    <w:rsid w:val="00BB12A7"/>
    <w:rsid w:val="00BB434D"/>
    <w:rsid w:val="00BB6419"/>
    <w:rsid w:val="00BC143A"/>
    <w:rsid w:val="00BC32E3"/>
    <w:rsid w:val="00BD438A"/>
    <w:rsid w:val="00BE0860"/>
    <w:rsid w:val="00BE37B5"/>
    <w:rsid w:val="00BF00A0"/>
    <w:rsid w:val="00BF06EB"/>
    <w:rsid w:val="00BF140B"/>
    <w:rsid w:val="00BF2B12"/>
    <w:rsid w:val="00BF603A"/>
    <w:rsid w:val="00C15F24"/>
    <w:rsid w:val="00C40372"/>
    <w:rsid w:val="00C412BD"/>
    <w:rsid w:val="00C42530"/>
    <w:rsid w:val="00C43A2A"/>
    <w:rsid w:val="00C56321"/>
    <w:rsid w:val="00C614C5"/>
    <w:rsid w:val="00C635BF"/>
    <w:rsid w:val="00C63930"/>
    <w:rsid w:val="00C65760"/>
    <w:rsid w:val="00C708FA"/>
    <w:rsid w:val="00CA28DD"/>
    <w:rsid w:val="00CA4B00"/>
    <w:rsid w:val="00CB5ED4"/>
    <w:rsid w:val="00CC2363"/>
    <w:rsid w:val="00CD0DC8"/>
    <w:rsid w:val="00CE4B60"/>
    <w:rsid w:val="00CE5E7C"/>
    <w:rsid w:val="00CE6A66"/>
    <w:rsid w:val="00D106E1"/>
    <w:rsid w:val="00D10C18"/>
    <w:rsid w:val="00D13A3D"/>
    <w:rsid w:val="00D14664"/>
    <w:rsid w:val="00D360C1"/>
    <w:rsid w:val="00D37938"/>
    <w:rsid w:val="00D4224D"/>
    <w:rsid w:val="00D62C0D"/>
    <w:rsid w:val="00D723C2"/>
    <w:rsid w:val="00D7554A"/>
    <w:rsid w:val="00D809E5"/>
    <w:rsid w:val="00D82C55"/>
    <w:rsid w:val="00D8695C"/>
    <w:rsid w:val="00D90E17"/>
    <w:rsid w:val="00DB3347"/>
    <w:rsid w:val="00DC088A"/>
    <w:rsid w:val="00DC57D1"/>
    <w:rsid w:val="00DC7BED"/>
    <w:rsid w:val="00DD7F8D"/>
    <w:rsid w:val="00DE63F7"/>
    <w:rsid w:val="00E07BA2"/>
    <w:rsid w:val="00E1650A"/>
    <w:rsid w:val="00E201DD"/>
    <w:rsid w:val="00E41930"/>
    <w:rsid w:val="00E72107"/>
    <w:rsid w:val="00E73FF2"/>
    <w:rsid w:val="00E929A4"/>
    <w:rsid w:val="00EA316D"/>
    <w:rsid w:val="00EA7E59"/>
    <w:rsid w:val="00EB3DD3"/>
    <w:rsid w:val="00EC0466"/>
    <w:rsid w:val="00EC2CEA"/>
    <w:rsid w:val="00ED7150"/>
    <w:rsid w:val="00EE15D9"/>
    <w:rsid w:val="00EF591C"/>
    <w:rsid w:val="00F05154"/>
    <w:rsid w:val="00F10BBC"/>
    <w:rsid w:val="00F13C42"/>
    <w:rsid w:val="00F13C5A"/>
    <w:rsid w:val="00F2051A"/>
    <w:rsid w:val="00F26BC6"/>
    <w:rsid w:val="00F340DE"/>
    <w:rsid w:val="00F348DC"/>
    <w:rsid w:val="00F54534"/>
    <w:rsid w:val="00F557BB"/>
    <w:rsid w:val="00F55F2C"/>
    <w:rsid w:val="00F70A2A"/>
    <w:rsid w:val="00F73792"/>
    <w:rsid w:val="00F803A6"/>
    <w:rsid w:val="00F978A0"/>
    <w:rsid w:val="00FB3DC5"/>
    <w:rsid w:val="00FC0750"/>
    <w:rsid w:val="00FC38B5"/>
    <w:rsid w:val="00FC5EA5"/>
    <w:rsid w:val="00FD1C99"/>
    <w:rsid w:val="00FD37A7"/>
    <w:rsid w:val="00FD7074"/>
    <w:rsid w:val="00FE4179"/>
    <w:rsid w:val="00FE62F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примечан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A21235"/>
    <w:rPr>
      <w:rFonts w:ascii="Times New Roman" w:hAnsi="Times New Roman"/>
      <w:sz w:val="26"/>
    </w:rPr>
  </w:style>
  <w:style w:type="paragraph" w:styleId="ae">
    <w:name w:val="footer"/>
    <w:basedOn w:val="a"/>
    <w:link w:val="af"/>
    <w:uiPriority w:val="99"/>
    <w:unhideWhenUsed/>
    <w:rsid w:val="00831C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CD2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комментар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4663C-214E-4012-80DF-52DDA2D3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Курилович Александра Дмитриевна</cp:lastModifiedBy>
  <cp:revision>79</cp:revision>
  <cp:lastPrinted>2018-09-27T11:45:00Z</cp:lastPrinted>
  <dcterms:created xsi:type="dcterms:W3CDTF">2017-05-07T11:40:00Z</dcterms:created>
  <dcterms:modified xsi:type="dcterms:W3CDTF">2018-09-28T09:31:00Z</dcterms:modified>
</cp:coreProperties>
</file>