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8B" w:rsidRPr="008A3E0F" w:rsidRDefault="00731143" w:rsidP="00731143">
      <w:pPr>
        <w:spacing w:line="360" w:lineRule="auto"/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</w:pPr>
      <w:r w:rsidRPr="008A3E0F">
        <w:rPr>
          <w:rStyle w:val="a3"/>
          <w:rFonts w:ascii="Times New Roman" w:hAnsi="Times New Roman" w:cs="Times New Roman"/>
          <w:color w:val="7A7A7A"/>
          <w:sz w:val="28"/>
          <w:szCs w:val="28"/>
          <w:bdr w:val="none" w:sz="0" w:space="0" w:color="auto" w:frame="1"/>
          <w:shd w:val="clear" w:color="auto" w:fill="FFFFFF"/>
        </w:rPr>
        <w:t>Практика</w:t>
      </w:r>
      <w:r w:rsidRPr="008A3E0F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> – это компонент образовательной программы, организация образовательной деятельности по которому осуществляется в форме практической подготовки и который обеспечивает продолжение формирования, закрепления и развития практических навыков и компетенций у студентов в процессе непосредственного выполнения ими определенных видов работ, связанных с будущей профессиональной деятельностью.</w:t>
      </w:r>
    </w:p>
    <w:p w:rsidR="00CB5306" w:rsidRPr="008A3E0F" w:rsidRDefault="00CB5306" w:rsidP="00731143">
      <w:pPr>
        <w:spacing w:line="360" w:lineRule="auto"/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</w:pPr>
    </w:p>
    <w:p w:rsidR="00731143" w:rsidRPr="008A3E0F" w:rsidRDefault="00731143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bdr w:val="none" w:sz="0" w:space="0" w:color="auto" w:frame="1"/>
          <w:lang w:eastAsia="ru-RU"/>
        </w:rPr>
        <w:t>Студентам до начала прохождения практики необходимо:</w:t>
      </w:r>
    </w:p>
    <w:p w:rsidR="00731143" w:rsidRPr="008A3E0F" w:rsidRDefault="00731143" w:rsidP="00731143">
      <w:pPr>
        <w:numPr>
          <w:ilvl w:val="0"/>
          <w:numId w:val="1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Узнать у специалиста деканата Ф.И.О. руководителя практики от СЗИУ;</w:t>
      </w:r>
    </w:p>
    <w:p w:rsidR="00731143" w:rsidRPr="008A3E0F" w:rsidRDefault="00731143" w:rsidP="00731143">
      <w:pPr>
        <w:numPr>
          <w:ilvl w:val="0"/>
          <w:numId w:val="1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Получить у руководителя практики от СЗИУ задание на практику;</w:t>
      </w:r>
    </w:p>
    <w:p w:rsidR="00731143" w:rsidRPr="008A3E0F" w:rsidRDefault="00731143" w:rsidP="00731143">
      <w:pPr>
        <w:numPr>
          <w:ilvl w:val="0"/>
          <w:numId w:val="1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Получить (если организация требует) в деканате письменное направление на практику не позднее 2-х недель до ее начала.</w:t>
      </w:r>
    </w:p>
    <w:p w:rsidR="00CB5306" w:rsidRPr="008A3E0F" w:rsidRDefault="00CB5306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bdr w:val="none" w:sz="0" w:space="0" w:color="auto" w:frame="1"/>
          <w:lang w:eastAsia="ru-RU"/>
        </w:rPr>
      </w:pPr>
    </w:p>
    <w:p w:rsidR="00731143" w:rsidRPr="008A3E0F" w:rsidRDefault="00731143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bdr w:val="none" w:sz="0" w:space="0" w:color="auto" w:frame="1"/>
          <w:lang w:eastAsia="ru-RU"/>
        </w:rPr>
        <w:t>Студент вправе предложить место прохождения практики (не из числа организаций, с которыми у СЗИУ РАНХиГС заключен соответствующий договор) для рассмотрения возможности заключения договора с конкретной профильной организацией).</w:t>
      </w:r>
    </w:p>
    <w:p w:rsidR="00CB5306" w:rsidRPr="008A3E0F" w:rsidRDefault="00CB5306" w:rsidP="0073114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</w:p>
    <w:p w:rsidR="00731143" w:rsidRPr="008A3E0F" w:rsidRDefault="00731143" w:rsidP="0073114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Для этого необходимо:</w:t>
      </w:r>
    </w:p>
    <w:p w:rsidR="00731143" w:rsidRPr="008A3E0F" w:rsidRDefault="00731143" w:rsidP="00731143">
      <w:pPr>
        <w:numPr>
          <w:ilvl w:val="0"/>
          <w:numId w:val="2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Скачать со </w:t>
      </w:r>
      <w:hyperlink r:id="rId5" w:history="1">
        <w:r w:rsidRPr="008A3E0F">
          <w:rPr>
            <w:rFonts w:ascii="Times New Roman" w:eastAsia="Times New Roman" w:hAnsi="Times New Roman" w:cs="Times New Roman"/>
            <w:color w:val="7A7A7A"/>
            <w:sz w:val="28"/>
            <w:szCs w:val="28"/>
            <w:lang w:eastAsia="ru-RU"/>
          </w:rPr>
          <w:t>страницы сайта</w:t>
        </w:r>
      </w:hyperlink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 типовой договор на практику, заполнить его данными профильной организации, заполнить приложения 1, 2, 3, прописав информацию о себе в приложении 2.</w:t>
      </w:r>
    </w:p>
    <w:p w:rsidR="00731143" w:rsidRPr="008A3E0F" w:rsidRDefault="00731143" w:rsidP="00731143">
      <w:pPr>
        <w:numPr>
          <w:ilvl w:val="0"/>
          <w:numId w:val="2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Поставить в профильной организации печать и подпись руководителя.</w:t>
      </w: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br/>
        <w:t xml:space="preserve">Следует заранее обратиться в профильную организацию для уточнения условий подготовки и проведения практики, т.к. у всех профильных организаций разные требования, некоторые требуют обращаться к ним за 3-4 недели до начала практики. Кроме того, в некоторые профильные организации необходимо приходить на собеседование для распределения в конкретное структурное подразделение, оформления пропуска и т.п. </w:t>
      </w: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lastRenderedPageBreak/>
        <w:t>Поэтому очень важно начать заниматься своей практикой как можно раньше, иначе Вы можете не попасть в интересующую Вас организацию.</w:t>
      </w:r>
    </w:p>
    <w:p w:rsidR="00731143" w:rsidRPr="008A3E0F" w:rsidRDefault="00731143" w:rsidP="00731143">
      <w:pPr>
        <w:numPr>
          <w:ilvl w:val="0"/>
          <w:numId w:val="2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Представить в деканат своего факультета, подписанный профильной организацией в двух экземплярах, типовой договор о прохождении практики не позднее 3-х недель до начала практики.</w:t>
      </w:r>
    </w:p>
    <w:p w:rsidR="00731143" w:rsidRPr="008A3E0F" w:rsidRDefault="00731143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bdr w:val="none" w:sz="0" w:space="0" w:color="auto" w:frame="1"/>
          <w:lang w:eastAsia="ru-RU"/>
        </w:rPr>
        <w:t> Для прохождения практики необходимо:</w:t>
      </w:r>
    </w:p>
    <w:p w:rsidR="00731143" w:rsidRPr="008A3E0F" w:rsidRDefault="00731143" w:rsidP="00731143">
      <w:pPr>
        <w:numPr>
          <w:ilvl w:val="0"/>
          <w:numId w:val="3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проходить практику согласно утвержденному учебному плану в соответствии с программой практики;</w:t>
      </w:r>
    </w:p>
    <w:p w:rsidR="00731143" w:rsidRPr="008A3E0F" w:rsidRDefault="00731143" w:rsidP="00731143">
      <w:pPr>
        <w:numPr>
          <w:ilvl w:val="0"/>
          <w:numId w:val="3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выполнить индивидуальное задание на практику.</w:t>
      </w:r>
    </w:p>
    <w:p w:rsidR="00731143" w:rsidRPr="008A3E0F" w:rsidRDefault="00731143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bdr w:val="none" w:sz="0" w:space="0" w:color="auto" w:frame="1"/>
          <w:lang w:eastAsia="ru-RU"/>
        </w:rPr>
        <w:t>По окончании практики необходимо:</w:t>
      </w:r>
    </w:p>
    <w:p w:rsidR="00731143" w:rsidRPr="008A3E0F" w:rsidRDefault="00731143" w:rsidP="00731143">
      <w:pPr>
        <w:numPr>
          <w:ilvl w:val="0"/>
          <w:numId w:val="4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Получить отзыв с подписью руководителя практики от профильной организации и печатью организации. Форма отзыва </w:t>
      </w:r>
      <w:hyperlink r:id="rId6" w:history="1">
        <w:r w:rsidRPr="008A3E0F">
          <w:rPr>
            <w:rFonts w:ascii="Times New Roman" w:eastAsia="Times New Roman" w:hAnsi="Times New Roman" w:cs="Times New Roman"/>
            <w:color w:val="7A7A7A"/>
            <w:sz w:val="28"/>
            <w:szCs w:val="28"/>
            <w:lang w:eastAsia="ru-RU"/>
          </w:rPr>
          <w:t>размещена на сайте</w:t>
        </w:r>
      </w:hyperlink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;</w:t>
      </w:r>
    </w:p>
    <w:p w:rsidR="00731143" w:rsidRPr="008A3E0F" w:rsidRDefault="00731143" w:rsidP="00731143">
      <w:pPr>
        <w:numPr>
          <w:ilvl w:val="0"/>
          <w:numId w:val="4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Подготовить отчет по исполнению программы практики и индивидуального задания. Форма титульного листа и требования к отчету </w:t>
      </w:r>
      <w:hyperlink r:id="rId7" w:history="1">
        <w:r w:rsidRPr="008A3E0F">
          <w:rPr>
            <w:rFonts w:ascii="Times New Roman" w:eastAsia="Times New Roman" w:hAnsi="Times New Roman" w:cs="Times New Roman"/>
            <w:color w:val="7A7A7A"/>
            <w:sz w:val="28"/>
            <w:szCs w:val="28"/>
            <w:lang w:eastAsia="ru-RU"/>
          </w:rPr>
          <w:t>размещены на сайте</w:t>
        </w:r>
      </w:hyperlink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 (</w:t>
      </w:r>
      <w:r w:rsidR="0034403C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ФМОПИ - Практика</w:t>
      </w: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)</w:t>
      </w:r>
    </w:p>
    <w:p w:rsidR="00731143" w:rsidRPr="008A3E0F" w:rsidRDefault="00731143" w:rsidP="00731143">
      <w:pPr>
        <w:numPr>
          <w:ilvl w:val="0"/>
          <w:numId w:val="4"/>
        </w:numPr>
        <w:shd w:val="clear" w:color="auto" w:fill="FFFFFF"/>
        <w:spacing w:line="360" w:lineRule="auto"/>
        <w:ind w:left="30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Защитить отчет по практике согласно учебному расписанию, представив следующие документы:</w:t>
      </w:r>
    </w:p>
    <w:p w:rsidR="00731143" w:rsidRPr="008A3E0F" w:rsidRDefault="00731143" w:rsidP="0073114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1) отзыв руководителя практики от профильной организации заверенный печатью организации;</w:t>
      </w: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br/>
        <w:t>2) индивидуальное задание руководителя практики от СЗИУ;</w:t>
      </w:r>
      <w:r w:rsidRPr="008A3E0F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br/>
        <w:t>3) отчет по практике.</w:t>
      </w:r>
    </w:p>
    <w:p w:rsidR="00731143" w:rsidRPr="008A3E0F" w:rsidRDefault="00731143" w:rsidP="0073114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A20000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A20000"/>
          <w:sz w:val="28"/>
          <w:szCs w:val="28"/>
          <w:bdr w:val="none" w:sz="0" w:space="0" w:color="auto" w:frame="1"/>
          <w:lang w:eastAsia="ru-RU"/>
        </w:rPr>
        <w:t>Важно!</w:t>
      </w:r>
      <w:r w:rsidRPr="008A3E0F">
        <w:rPr>
          <w:rFonts w:ascii="Times New Roman" w:eastAsia="Times New Roman" w:hAnsi="Times New Roman" w:cs="Times New Roman"/>
          <w:color w:val="A20000"/>
          <w:sz w:val="28"/>
          <w:szCs w:val="28"/>
          <w:lang w:eastAsia="ru-RU"/>
        </w:rPr>
        <w:br/>
        <w:t>Незамедлительно сообщать о возникших проблемах в связи с прохождением практики руководителю практики от СЗИУ и специалисту деканата.</w:t>
      </w:r>
    </w:p>
    <w:p w:rsidR="0034403C" w:rsidRPr="0034403C" w:rsidRDefault="008A3E0F" w:rsidP="0034403C">
      <w:pPr>
        <w:pStyle w:val="a4"/>
      </w:pPr>
      <w:r w:rsidRPr="008A3E0F">
        <w:rPr>
          <w:sz w:val="28"/>
          <w:szCs w:val="28"/>
        </w:rPr>
        <w:t xml:space="preserve"> </w:t>
      </w:r>
      <w:r w:rsidR="0034403C" w:rsidRPr="0034403C">
        <w:rPr>
          <w:noProof/>
        </w:rPr>
        <w:drawing>
          <wp:inline distT="0" distB="0" distL="0" distR="0">
            <wp:extent cx="3990975" cy="1513840"/>
            <wp:effectExtent l="0" t="0" r="9525" b="0"/>
            <wp:docPr id="5" name="Рисунок 5" descr="C:\Users\Parinovaov\Downloads\4557388_168986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inovaov\Downloads\4557388_1689861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303" cy="15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65" w:rsidRPr="008A3E0F" w:rsidRDefault="003466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A3E0F">
        <w:rPr>
          <w:rFonts w:ascii="Times New Roman" w:hAnsi="Times New Roman" w:cs="Times New Roman"/>
          <w:sz w:val="28"/>
          <w:szCs w:val="28"/>
        </w:rPr>
        <w:br w:type="page"/>
      </w:r>
    </w:p>
    <w:p w:rsidR="00201650" w:rsidRPr="008A3E0F" w:rsidRDefault="001A397E" w:rsidP="002016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hyperlink r:id="rId9" w:history="1">
        <w:r w:rsidR="00201650" w:rsidRPr="008A3E0F">
          <w:rPr>
            <w:rFonts w:ascii="Times New Roman" w:eastAsia="Times New Roman" w:hAnsi="Times New Roman" w:cs="Times New Roman"/>
            <w:b/>
            <w:bCs/>
            <w:color w:val="737373"/>
            <w:sz w:val="28"/>
            <w:szCs w:val="28"/>
            <w:u w:val="single"/>
            <w:bdr w:val="none" w:sz="0" w:space="0" w:color="auto" w:frame="1"/>
            <w:lang w:eastAsia="ru-RU"/>
          </w:rPr>
          <w:t>Отчет о практике и формы документов</w:t>
        </w:r>
      </w:hyperlink>
    </w:p>
    <w:p w:rsidR="00201650" w:rsidRPr="008A3E0F" w:rsidRDefault="00201650" w:rsidP="002016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01650" w:rsidRPr="008A3E0F" w:rsidRDefault="00201650" w:rsidP="00201650">
      <w:pPr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bdr w:val="none" w:sz="0" w:space="0" w:color="auto" w:frame="1"/>
          <w:lang w:eastAsia="ru-RU"/>
        </w:rPr>
        <w:t>Структура, содержание и общие требования к оформлению отчета о прохождении практики:</w:t>
      </w:r>
    </w:p>
    <w:p w:rsidR="00201650" w:rsidRPr="008A3E0F" w:rsidRDefault="00201650" w:rsidP="00201650">
      <w:pPr>
        <w:numPr>
          <w:ilvl w:val="0"/>
          <w:numId w:val="6"/>
        </w:numPr>
        <w:spacing w:after="300"/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Отчет является основным документом, характеризующим работу обучающегося во время практики. В отчете должны быть отражены изученные во время практики общие вопросы и основные результаты практической деятельности обучающегося.</w:t>
      </w:r>
    </w:p>
    <w:p w:rsidR="00201650" w:rsidRPr="008A3E0F" w:rsidRDefault="00201650" w:rsidP="00201650">
      <w:pPr>
        <w:numPr>
          <w:ilvl w:val="0"/>
          <w:numId w:val="6"/>
        </w:numPr>
        <w:spacing w:after="300"/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 итогам защиты отчета по практике для всех направлений и специальностей всех форм обучения выставляется дифференцированная оценка.</w:t>
      </w:r>
    </w:p>
    <w:p w:rsidR="00201650" w:rsidRPr="008A3E0F" w:rsidRDefault="00201650" w:rsidP="00201650">
      <w:pPr>
        <w:numPr>
          <w:ilvl w:val="0"/>
          <w:numId w:val="6"/>
        </w:numPr>
        <w:spacing w:after="300"/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Отчет состоит из титульного листа, оглавления, общей части, заключения, списка использованной литературы, приложений.</w:t>
      </w:r>
    </w:p>
    <w:p w:rsidR="00201650" w:rsidRPr="008A3E0F" w:rsidRDefault="00201650" w:rsidP="00201650">
      <w:pPr>
        <w:numPr>
          <w:ilvl w:val="0"/>
          <w:numId w:val="6"/>
        </w:numPr>
        <w:spacing w:after="300"/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качестве дополнительного приложения в отчет могут включаться копии документов (нормативных актов, отчетов и др.), изученных и использованных обучающимся в период прохождения практики.</w:t>
      </w:r>
    </w:p>
    <w:p w:rsidR="00201650" w:rsidRPr="008A3E0F" w:rsidRDefault="00201650" w:rsidP="00201650">
      <w:pPr>
        <w:numPr>
          <w:ilvl w:val="0"/>
          <w:numId w:val="6"/>
        </w:numPr>
        <w:spacing w:after="300"/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Текст отчета предоставляется в печатном виде на листах формата А4. Объем отчета должен быть не менее 15 и не более 25 страниц печатного текста. Текст готовится с использованием текстового редактора </w:t>
      </w:r>
      <w:proofErr w:type="spellStart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Microsoft</w:t>
      </w:r>
      <w:proofErr w:type="spellEnd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Word</w:t>
      </w:r>
      <w:proofErr w:type="spellEnd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(или аналога) через 1,5 интервала с применением 14 размера шрифта </w:t>
      </w:r>
      <w:proofErr w:type="spellStart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Times</w:t>
      </w:r>
      <w:proofErr w:type="spellEnd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New</w:t>
      </w:r>
      <w:proofErr w:type="spellEnd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Roman</w:t>
      </w:r>
      <w:proofErr w:type="spellEnd"/>
      <w:r w:rsidRPr="008A3E0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201650" w:rsidRPr="008A3E0F" w:rsidRDefault="00201650" w:rsidP="00201650">
      <w:pPr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A3E0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bdr w:val="none" w:sz="0" w:space="0" w:color="auto" w:frame="1"/>
          <w:lang w:eastAsia="ru-RU"/>
        </w:rPr>
        <w:t>Необходимые документы:</w:t>
      </w:r>
    </w:p>
    <w:p w:rsidR="00201650" w:rsidRPr="008A3E0F" w:rsidRDefault="001A397E" w:rsidP="00201650">
      <w:pPr>
        <w:numPr>
          <w:ilvl w:val="0"/>
          <w:numId w:val="7"/>
        </w:numPr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10" w:history="1">
        <w:r w:rsidR="00201650" w:rsidRPr="008A3E0F">
          <w:rPr>
            <w:rFonts w:ascii="Times New Roman" w:eastAsia="Times New Roman" w:hAnsi="Times New Roman" w:cs="Times New Roman"/>
            <w:color w:val="951A1D"/>
            <w:sz w:val="28"/>
            <w:szCs w:val="28"/>
            <w:u w:val="single"/>
            <w:bdr w:val="none" w:sz="0" w:space="0" w:color="auto" w:frame="1"/>
            <w:lang w:eastAsia="ru-RU"/>
          </w:rPr>
          <w:t>Отзыв руководителя практики от организации</w:t>
        </w:r>
      </w:hyperlink>
    </w:p>
    <w:p w:rsidR="00201650" w:rsidRPr="008A3E0F" w:rsidRDefault="001A397E" w:rsidP="00201650">
      <w:pPr>
        <w:numPr>
          <w:ilvl w:val="0"/>
          <w:numId w:val="7"/>
        </w:numPr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11" w:history="1">
        <w:r w:rsidR="00201650" w:rsidRPr="008A3E0F">
          <w:rPr>
            <w:rFonts w:ascii="Times New Roman" w:eastAsia="Times New Roman" w:hAnsi="Times New Roman" w:cs="Times New Roman"/>
            <w:color w:val="951A1D"/>
            <w:sz w:val="28"/>
            <w:szCs w:val="28"/>
            <w:u w:val="single"/>
            <w:bdr w:val="none" w:sz="0" w:space="0" w:color="auto" w:frame="1"/>
            <w:lang w:eastAsia="ru-RU"/>
          </w:rPr>
          <w:t>Отчет о прохождении практики</w:t>
        </w:r>
      </w:hyperlink>
    </w:p>
    <w:p w:rsidR="00201650" w:rsidRPr="00C87609" w:rsidRDefault="001A397E" w:rsidP="00201650">
      <w:pPr>
        <w:numPr>
          <w:ilvl w:val="0"/>
          <w:numId w:val="7"/>
        </w:numPr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12" w:history="1">
        <w:r w:rsidR="00201650" w:rsidRPr="008A3E0F">
          <w:rPr>
            <w:rFonts w:ascii="Times New Roman" w:eastAsia="Times New Roman" w:hAnsi="Times New Roman" w:cs="Times New Roman"/>
            <w:color w:val="951A1D"/>
            <w:sz w:val="28"/>
            <w:szCs w:val="28"/>
            <w:u w:val="single"/>
            <w:bdr w:val="none" w:sz="0" w:space="0" w:color="auto" w:frame="1"/>
            <w:lang w:eastAsia="ru-RU"/>
          </w:rPr>
          <w:t>Договор о практической подготовке обучающихся</w:t>
        </w:r>
      </w:hyperlink>
    </w:p>
    <w:p w:rsidR="00C87609" w:rsidRPr="00C87609" w:rsidRDefault="00C87609" w:rsidP="00C87609">
      <w:pPr>
        <w:ind w:left="300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C87609" w:rsidRPr="008A3E0F" w:rsidRDefault="0034403C" w:rsidP="00C87609">
      <w:pPr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048250" cy="3094681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61" cy="31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3C" w:rsidRDefault="0034403C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br w:type="page"/>
      </w:r>
    </w:p>
    <w:p w:rsidR="005918F4" w:rsidRDefault="005918F4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lastRenderedPageBreak/>
        <w:t>Документы для оформления отчета по практики обучающихся и договор опубликованы на сайте:</w:t>
      </w:r>
    </w:p>
    <w:p w:rsidR="005918F4" w:rsidRDefault="0034403C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ФМОПИ</w:t>
      </w:r>
      <w:r w:rsidR="005918F4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Практика</w:t>
      </w:r>
      <w:r w:rsidR="005918F4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 </w:t>
      </w:r>
    </w:p>
    <w:p w:rsidR="005918F4" w:rsidRDefault="005918F4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5918F4" w:rsidRDefault="0034403C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F4" w:rsidRDefault="005918F4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15C845" wp14:editId="02A00315">
            <wp:extent cx="5940425" cy="23171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8F4" w:rsidRDefault="005918F4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5918F4" w:rsidRDefault="005918F4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201650" w:rsidRPr="005918F4" w:rsidRDefault="0020165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 w:rsidRPr="005918F4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br w:type="page"/>
      </w:r>
    </w:p>
    <w:p w:rsidR="006C2B11" w:rsidRPr="006C2B11" w:rsidRDefault="001A397E" w:rsidP="0034666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737373"/>
          <w:sz w:val="27"/>
          <w:szCs w:val="27"/>
          <w:u w:val="single"/>
          <w:bdr w:val="none" w:sz="0" w:space="0" w:color="auto" w:frame="1"/>
          <w:lang w:eastAsia="ru-RU"/>
        </w:rPr>
      </w:pPr>
      <w:hyperlink r:id="rId16" w:history="1">
        <w:r w:rsidR="00346665" w:rsidRPr="008A3E0F">
          <w:rPr>
            <w:rFonts w:ascii="Times New Roman" w:eastAsia="Times New Roman" w:hAnsi="Times New Roman" w:cs="Times New Roman"/>
            <w:b/>
            <w:bCs/>
            <w:color w:val="737373"/>
            <w:sz w:val="27"/>
            <w:szCs w:val="27"/>
            <w:u w:val="single"/>
            <w:bdr w:val="none" w:sz="0" w:space="0" w:color="auto" w:frame="1"/>
            <w:lang w:eastAsia="ru-RU"/>
          </w:rPr>
          <w:t>Наши партнеры</w:t>
        </w:r>
      </w:hyperlink>
    </w:p>
    <w:p w:rsidR="00346665" w:rsidRPr="008A3E0F" w:rsidRDefault="00346665" w:rsidP="0034666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1"/>
          <w:szCs w:val="21"/>
          <w:lang w:eastAsia="ru-RU"/>
        </w:rPr>
      </w:pP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делам записи актов гражданского состояния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финансов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имущественных отношений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Комитет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погосударственному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контролю, использованию и охране памятников истории и культуры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внешним связям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строительству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Губернатора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Петроградского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Приморского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Центральная акцизная таможня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межнациональным отношениям и реализации миграционной политики в Санкт-Петербурге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энергетике и инженерному обеспечению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Жилищный комитет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Калининского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картоглафии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по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государственного финансового контроля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Пушкинского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Северо-Западное межрегиональное управление Федеральной службы по надзору в сфере природопользования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развитию транспортной инфраструктуры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ГКУ Фонд капитального строительства и реконструкции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юстиции Алтайского края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Кировского р-на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контролю за имуществом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Роскомнадзора по СЗФО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Ассоциация импортеров плодоовощной продукции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«Газпром флот»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судебного департамента в Вологодской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«Архангельский траловый флот»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промышленной политике, инновациям и торговле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физической культуре и спорту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федеральной службы судебных приставов по Санкт-Петербургу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здравоохранению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Благотворительный фонд помощи пожилым людям «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ДоброДомик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Санкт-Петербурга по делам Арктики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ГБУ ДО Центр внешкольной работы с детьми и молодежью Калининского р-на Санкт-Петербурга «Академический»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«Технопарк Санкт-Петербурга»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«Транс-Бизнес Брокер»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Уполномоченный по правам человека в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природопользованию, охране окружающей среды и обеспечению экологической безопасности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Василеостровского р-на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Центрального р-на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Санкт-Петербургский городской суд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Красногвардейского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развитию туризма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«Кадис»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Государственная жилищная инспекция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ПАО «БАНК УРАЛСИБ»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lastRenderedPageBreak/>
        <w:t>Комитет по молодежной политике и взаимодействию с общественными организациями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Арбитражный суд Санкт-Петербурга и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«СМП Банк»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«Бизнес для бизнеса»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Федерального казначейства по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«Инком Групп»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«Гостиничный комплекс «Прибалтийская»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УМВД России по Архангельской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ГБОУ средняя общеобразовательная школа №47 им. Д.С. Лихачева Петроградского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ГКУ «Городской информационно-расчетный центр»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ГКУ «Центр архивных документов»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Комитет по культуре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Сант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«Диета-18»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«Диета+»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ГБУДО ППМС-центр «Развитие» Центрального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ГБУЗ «городская поликлиника № 107»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МБУ «Гатчинский городской Дом культуры»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«Центр межкультурных коммуникаций»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Губернатора и Правительства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транспорту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Государственная административно-техническая инспекция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МРУ Росфинмониторинга по СЗФО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«Технологии Доверия — Аудит»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Центральная почтовая таможня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МА ВМО «Купчино»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Минвостокразвития России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инвестициям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труду и занятости населения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социальной политике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ЛОГБУ «Тихвинский КЦСОН»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ГКУ «МФЦ»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«ТВ КУПОЛ»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Администрация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Петродворцового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РО ООО «РКК»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ГАУ «Центр трудовых ресурсов»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Газстройпром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вопросам законности, правопорядка и безопасности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Социологический институт РАН — филиал ФНИСЦ РАН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«Единый информационно-расчетный центр Санкт-Петербурга»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«НЕВАСОФТ»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экономической политике и стратегическому развитию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«Омега»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ПАО «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Россети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Северо-Запад»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proofErr w:type="gram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АНО »</w:t>
      </w:r>
      <w:proofErr w:type="gram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Центр Инновационной Дипломатии БРИКС и ШОС»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Мэлон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Фэшн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Груп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АНО «Институт современного государственного развития»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ФНС России по Санкт-Петербургу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ФГУП «Информационное телеграфное агентство России (ИТАР-ТАСС)»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Северо-Западное таможенное управление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Выборгского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ГБУ Центр психолого-педагогической, медицинской и социальной помощи Фрунзенского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proofErr w:type="gram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»</w:t>
      </w:r>
      <w:proofErr w:type="gram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Кредо-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инвест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lastRenderedPageBreak/>
        <w:t>Администрация Фрунзенского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Московского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«БТК»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proofErr w:type="gram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»</w:t>
      </w:r>
      <w:proofErr w:type="gram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АйБиСи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Реал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Эстейт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АО «Октябрьский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электровагоноремонтный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завод»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ПАО «Техприбор»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ОПФ «Новая История»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«Привилегия» (отель «Привилегия»)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Красносельского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МА МО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МО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Волковское</w:t>
      </w:r>
      <w:proofErr w:type="spellEnd"/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ГБУ «Городское Туристско-Информационное Бюро»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Управление Судебного департамента в г. Санкт-Петербурге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ГКУ «Имущество Санкт-Петербурга»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тарифам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Комитет по градостроительству и архитектуре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Пансионат с лечением «Приморье»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«Инжиниринговая компания «АЭМ-технологии»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МТУ Росимущества в г. Санкт-Петербурге и Ленинградской области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ГУП «АТС Смольного»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СПб ГБУ «ГЦСП «КОНТАКТ»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Адмиралтейского района СПб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Представительство Ассоциации Коммуникационных Агентств России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Невского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Фонд содействия развитию образования, науки и искусства «Новое искусствознание»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«РИНФИН»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Администрация Кронштадтского района Санкт-Петербурга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ООО «Газпром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инвест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ФКУ 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Упрдор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«Северо-Запад»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Главное управление МЧС России по г. Санкт-Петербургу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«Жилкомсервис № 1 Петроградского района»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proofErr w:type="gram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АО »</w:t>
      </w:r>
      <w:proofErr w:type="gram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 xml:space="preserve"> СПИИРАН-Научно-Техническое Бюро Высоких технологий»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</w:t>
      </w:r>
      <w:proofErr w:type="spellStart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ЭкспоФорум</w:t>
      </w:r>
      <w:proofErr w:type="spellEnd"/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-Интернэшнл»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«Международная выставочная компания»</w:t>
      </w:r>
    </w:p>
    <w:p w:rsidR="00550828" w:rsidRPr="00550828" w:rsidRDefault="00550828" w:rsidP="00550828">
      <w:pPr>
        <w:numPr>
          <w:ilvl w:val="0"/>
          <w:numId w:val="8"/>
        </w:numPr>
        <w:ind w:left="300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  <w:r w:rsidRPr="00550828">
        <w:rPr>
          <w:rFonts w:ascii="inherit" w:eastAsia="Times New Roman" w:hAnsi="inherit" w:cs="Arial"/>
          <w:color w:val="5B5B5B"/>
          <w:sz w:val="24"/>
          <w:szCs w:val="24"/>
          <w:lang w:eastAsia="ru-RU"/>
        </w:rPr>
        <w:t>ООО «СОДЖ»</w:t>
      </w:r>
    </w:p>
    <w:p w:rsidR="00731143" w:rsidRPr="008A3E0F" w:rsidRDefault="00731143" w:rsidP="00550828">
      <w:pPr>
        <w:ind w:left="30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1143" w:rsidRPr="008A3E0F" w:rsidSect="0073114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FC4"/>
    <w:multiLevelType w:val="multilevel"/>
    <w:tmpl w:val="6A9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566D2"/>
    <w:multiLevelType w:val="multilevel"/>
    <w:tmpl w:val="C96C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5779D"/>
    <w:multiLevelType w:val="multilevel"/>
    <w:tmpl w:val="0F5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E5D78"/>
    <w:multiLevelType w:val="multilevel"/>
    <w:tmpl w:val="313C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23AC2"/>
    <w:multiLevelType w:val="multilevel"/>
    <w:tmpl w:val="C6B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35704"/>
    <w:multiLevelType w:val="multilevel"/>
    <w:tmpl w:val="034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B1A3B"/>
    <w:multiLevelType w:val="multilevel"/>
    <w:tmpl w:val="E99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A6D83"/>
    <w:multiLevelType w:val="multilevel"/>
    <w:tmpl w:val="3088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8B"/>
    <w:rsid w:val="0000788B"/>
    <w:rsid w:val="001A397E"/>
    <w:rsid w:val="00201650"/>
    <w:rsid w:val="0034403C"/>
    <w:rsid w:val="00346665"/>
    <w:rsid w:val="00550828"/>
    <w:rsid w:val="005918F4"/>
    <w:rsid w:val="006327C0"/>
    <w:rsid w:val="006C2B11"/>
    <w:rsid w:val="006F06A2"/>
    <w:rsid w:val="00731143"/>
    <w:rsid w:val="008A3E0F"/>
    <w:rsid w:val="00C87609"/>
    <w:rsid w:val="00C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88A"/>
  <w15:chartTrackingRefBased/>
  <w15:docId w15:val="{8C7C4CD1-90F0-4031-B6F4-79A3F67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88B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6C2B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143"/>
    <w:rPr>
      <w:b/>
      <w:bCs/>
    </w:rPr>
  </w:style>
  <w:style w:type="paragraph" w:styleId="a4">
    <w:name w:val="Normal (Web)"/>
    <w:basedOn w:val="a"/>
    <w:uiPriority w:val="99"/>
    <w:semiHidden/>
    <w:unhideWhenUsed/>
    <w:rsid w:val="007311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1143"/>
    <w:rPr>
      <w:i/>
      <w:iCs/>
    </w:rPr>
  </w:style>
  <w:style w:type="character" w:styleId="a6">
    <w:name w:val="Hyperlink"/>
    <w:basedOn w:val="a0"/>
    <w:uiPriority w:val="99"/>
    <w:unhideWhenUsed/>
    <w:rsid w:val="00731143"/>
    <w:rPr>
      <w:color w:val="0000FF"/>
      <w:u w:val="single"/>
    </w:rPr>
  </w:style>
  <w:style w:type="paragraph" w:customStyle="1" w:styleId="has-text-color">
    <w:name w:val="has-text-color"/>
    <w:basedOn w:val="a"/>
    <w:rsid w:val="007311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6C2B11"/>
  </w:style>
  <w:style w:type="paragraph" w:styleId="a7">
    <w:name w:val="List Paragraph"/>
    <w:basedOn w:val="a"/>
    <w:uiPriority w:val="34"/>
    <w:qFormat/>
    <w:rsid w:val="006C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4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0" w:color="auto"/>
            <w:right w:val="none" w:sz="0" w:space="15" w:color="auto"/>
          </w:divBdr>
        </w:div>
        <w:div w:id="12749000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single" w:sz="2" w:space="0" w:color="D4D4D4"/>
            <w:right w:val="none" w:sz="0" w:space="15" w:color="auto"/>
          </w:divBdr>
        </w:div>
      </w:divsChild>
    </w:div>
    <w:div w:id="547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09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0" w:color="auto"/>
            <w:right w:val="none" w:sz="0" w:space="15" w:color="auto"/>
          </w:divBdr>
        </w:div>
        <w:div w:id="425646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single" w:sz="2" w:space="0" w:color="D4D4D4"/>
            <w:right w:val="none" w:sz="0" w:space="15" w:color="auto"/>
          </w:divBdr>
        </w:div>
      </w:divsChild>
    </w:div>
    <w:div w:id="1076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b.ranepa.ru/spravochny-center/praktiki-i-stazhirovki/" TargetMode="External"/><Relationship Id="rId12" Type="http://schemas.openxmlformats.org/officeDocument/2006/relationships/hyperlink" Target="https://spb.ranepa.ru/wp-content/uploads/2024/01/dogovor-sziu-ranhigs_-o-prakticheskoj-podgotovke-obuchayushhihsya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b.ranepa.ru/spravochny-center/praktiki-i-stazhirov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.ranepa.ru/spravochny-center/praktiki-i-stazhirovki/" TargetMode="External"/><Relationship Id="rId11" Type="http://schemas.openxmlformats.org/officeDocument/2006/relationships/hyperlink" Target="https://spb.ranepa.ru/wp-content/uploads/2020/12/otchet_pract.docx" TargetMode="External"/><Relationship Id="rId5" Type="http://schemas.openxmlformats.org/officeDocument/2006/relationships/hyperlink" Target="https://spb.ranepa.ru/spravochny-center/praktiki-i-stazhirovki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spb.ranepa.ru/wp-content/uploads/2020/12/otzyv_ru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ranepa.ru/spravochny-center/praktiki-i-stazhirovki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1320</Words>
  <Characters>9260</Characters>
  <Application>Microsoft Office Word</Application>
  <DocSecurity>0</DocSecurity>
  <Lines>250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Геннадьевна</dc:creator>
  <cp:keywords/>
  <dc:description/>
  <cp:lastModifiedBy>Паринова Ольга Владимировна</cp:lastModifiedBy>
  <cp:revision>12</cp:revision>
  <cp:lastPrinted>2023-11-01T09:08:00Z</cp:lastPrinted>
  <dcterms:created xsi:type="dcterms:W3CDTF">2023-11-01T08:51:00Z</dcterms:created>
  <dcterms:modified xsi:type="dcterms:W3CDTF">2024-10-21T14:00:00Z</dcterms:modified>
</cp:coreProperties>
</file>